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0448FB" w:rsidRDefault="0036164A" w:rsidP="000448FB">
      <w:pPr>
        <w:overflowPunct w:val="0"/>
        <w:autoSpaceDE w:val="0"/>
        <w:autoSpaceDN w:val="0"/>
        <w:adjustRightInd w:val="0"/>
        <w:textAlignment w:val="baseline"/>
        <w:rPr>
          <w:rFonts w:eastAsia="Times New Roman"/>
          <w:color w:val="000000"/>
          <w:shd w:val="clear" w:color="auto" w:fill="FFFFFF"/>
        </w:rPr>
      </w:pPr>
      <w:r>
        <w:rPr>
          <w:rFonts w:eastAsia="Times New Roman"/>
          <w:color w:val="000000"/>
          <w:shd w:val="clear" w:color="auto" w:fill="FFFFFF"/>
        </w:rPr>
        <w:t>31</w:t>
      </w:r>
      <w:r w:rsidRPr="0036164A">
        <w:rPr>
          <w:rFonts w:eastAsia="Times New Roman"/>
          <w:color w:val="000000"/>
          <w:shd w:val="clear" w:color="auto" w:fill="FFFFFF"/>
          <w:vertAlign w:val="superscript"/>
        </w:rPr>
        <w:t>st</w:t>
      </w:r>
      <w:r>
        <w:rPr>
          <w:rFonts w:eastAsia="Times New Roman"/>
          <w:color w:val="000000"/>
          <w:shd w:val="clear" w:color="auto" w:fill="FFFFFF"/>
        </w:rPr>
        <w:t xml:space="preserve"> October </w:t>
      </w:r>
      <w:r w:rsidR="00A411C6">
        <w:rPr>
          <w:rFonts w:eastAsia="Times New Roman"/>
          <w:color w:val="000000"/>
          <w:shd w:val="clear" w:color="auto" w:fill="FFFFFF"/>
        </w:rPr>
        <w:t>2019</w:t>
      </w:r>
    </w:p>
    <w:p w:rsidR="004F216F" w:rsidRDefault="004F216F" w:rsidP="000448FB">
      <w:pPr>
        <w:overflowPunct w:val="0"/>
        <w:autoSpaceDE w:val="0"/>
        <w:autoSpaceDN w:val="0"/>
        <w:adjustRightInd w:val="0"/>
        <w:textAlignment w:val="baseline"/>
        <w:rPr>
          <w:rFonts w:eastAsia="Times New Roman"/>
          <w:color w:val="000000"/>
          <w:shd w:val="clear" w:color="auto" w:fill="FFFFFF"/>
        </w:rPr>
      </w:pPr>
    </w:p>
    <w:p w:rsidR="00166FDA" w:rsidRDefault="00166FDA" w:rsidP="000448FB">
      <w:pPr>
        <w:overflowPunct w:val="0"/>
        <w:autoSpaceDE w:val="0"/>
        <w:autoSpaceDN w:val="0"/>
        <w:adjustRightInd w:val="0"/>
        <w:textAlignment w:val="baseline"/>
      </w:pPr>
      <w:r>
        <w:t>HPMA review</w:t>
      </w:r>
    </w:p>
    <w:p w:rsidR="00166FDA" w:rsidRDefault="00166FDA" w:rsidP="000448FB">
      <w:pPr>
        <w:overflowPunct w:val="0"/>
        <w:autoSpaceDE w:val="0"/>
        <w:autoSpaceDN w:val="0"/>
        <w:adjustRightInd w:val="0"/>
        <w:textAlignment w:val="baseline"/>
      </w:pPr>
      <w:r>
        <w:t>Marine and Fisheries 4th Floor</w:t>
      </w:r>
    </w:p>
    <w:p w:rsidR="00166FDA" w:rsidRDefault="00166FDA" w:rsidP="000448FB">
      <w:pPr>
        <w:overflowPunct w:val="0"/>
        <w:autoSpaceDE w:val="0"/>
        <w:autoSpaceDN w:val="0"/>
        <w:adjustRightInd w:val="0"/>
        <w:textAlignment w:val="baseline"/>
      </w:pPr>
      <w:r>
        <w:t>Horizon House</w:t>
      </w:r>
    </w:p>
    <w:p w:rsidR="00166FDA" w:rsidRDefault="00166FDA" w:rsidP="000448FB">
      <w:pPr>
        <w:overflowPunct w:val="0"/>
        <w:autoSpaceDE w:val="0"/>
        <w:autoSpaceDN w:val="0"/>
        <w:adjustRightInd w:val="0"/>
        <w:textAlignment w:val="baseline"/>
      </w:pPr>
      <w:r>
        <w:t xml:space="preserve">Deanery Road </w:t>
      </w:r>
    </w:p>
    <w:p w:rsidR="00692536" w:rsidRDefault="00166FDA"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t>Bristol BS1 5AH</w:t>
      </w:r>
    </w:p>
    <w:p w:rsidR="006174A7" w:rsidRDefault="006174A7"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6174A7" w:rsidRDefault="00166FDA"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 xml:space="preserve">By email to: </w:t>
      </w:r>
      <w:hyperlink r:id="rId10" w:history="1">
        <w:r w:rsidRPr="00DA50C1">
          <w:rPr>
            <w:rStyle w:val="Hyperlink"/>
            <w:rFonts w:eastAsia="Times New Roman"/>
            <w:bdr w:val="none" w:sz="0" w:space="0" w:color="auto" w:frame="1"/>
            <w:shd w:val="clear" w:color="auto" w:fill="FFFFFF"/>
          </w:rPr>
          <w:t>HPMAreview@defra.gov.uk</w:t>
        </w:r>
      </w:hyperlink>
      <w:r>
        <w:rPr>
          <w:rFonts w:eastAsia="Times New Roman"/>
          <w:color w:val="0B0C0C"/>
          <w:bdr w:val="none" w:sz="0" w:space="0" w:color="auto" w:frame="1"/>
          <w:shd w:val="clear" w:color="auto" w:fill="FFFFFF"/>
        </w:rPr>
        <w:t xml:space="preserve"> </w:t>
      </w:r>
    </w:p>
    <w:p w:rsidR="00166FDA" w:rsidRDefault="00166FDA"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166FDA" w:rsidRDefault="00166FDA"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99521F" w:rsidRDefault="0099521F"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r>
        <w:rPr>
          <w:rFonts w:eastAsia="Times New Roman"/>
          <w:color w:val="0B0C0C"/>
          <w:bdr w:val="none" w:sz="0" w:space="0" w:color="auto" w:frame="1"/>
          <w:shd w:val="clear" w:color="auto" w:fill="FFFFFF"/>
        </w:rPr>
        <w:t xml:space="preserve">Dear </w:t>
      </w:r>
      <w:r w:rsidR="00000DE3">
        <w:rPr>
          <w:rFonts w:eastAsia="Times New Roman"/>
          <w:color w:val="0B0C0C"/>
          <w:bdr w:val="none" w:sz="0" w:space="0" w:color="auto" w:frame="1"/>
          <w:shd w:val="clear" w:color="auto" w:fill="FFFFFF"/>
        </w:rPr>
        <w:t>Sir/Madam</w:t>
      </w:r>
    </w:p>
    <w:p w:rsidR="00000DE3" w:rsidRDefault="00000DE3"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000DE3" w:rsidRPr="00000DE3" w:rsidRDefault="00000DE3" w:rsidP="00000DE3">
      <w:pPr>
        <w:spacing w:line="276" w:lineRule="auto"/>
        <w:jc w:val="center"/>
        <w:rPr>
          <w:rFonts w:eastAsia="Times New Roman"/>
          <w:b/>
        </w:rPr>
      </w:pPr>
      <w:r w:rsidRPr="00000DE3">
        <w:rPr>
          <w:rFonts w:eastAsia="Times New Roman"/>
          <w:b/>
        </w:rPr>
        <w:t>Independent Review into</w:t>
      </w:r>
      <w:r w:rsidRPr="00000DE3">
        <w:rPr>
          <w:rFonts w:eastAsia="Times New Roman"/>
          <w:b/>
        </w:rPr>
        <w:t xml:space="preserve"> </w:t>
      </w:r>
      <w:r w:rsidRPr="00000DE3">
        <w:rPr>
          <w:rFonts w:eastAsia="Times New Roman"/>
          <w:b/>
        </w:rPr>
        <w:t>Highly Protected Marine Areas</w:t>
      </w:r>
      <w:r w:rsidRPr="00000DE3">
        <w:rPr>
          <w:rFonts w:eastAsia="Times New Roman"/>
          <w:b/>
        </w:rPr>
        <w:t xml:space="preserve"> - </w:t>
      </w:r>
      <w:r w:rsidRPr="00000DE3">
        <w:rPr>
          <w:rFonts w:eastAsia="Times New Roman"/>
          <w:b/>
        </w:rPr>
        <w:t>Call for Evidence</w:t>
      </w:r>
    </w:p>
    <w:p w:rsidR="0099521F" w:rsidRPr="00F979E7" w:rsidRDefault="0099521F" w:rsidP="000448FB">
      <w:pPr>
        <w:overflowPunct w:val="0"/>
        <w:autoSpaceDE w:val="0"/>
        <w:autoSpaceDN w:val="0"/>
        <w:adjustRightInd w:val="0"/>
        <w:textAlignment w:val="baseline"/>
        <w:rPr>
          <w:rFonts w:eastAsia="Times New Roman"/>
          <w:b/>
          <w:color w:val="0B0C0C"/>
          <w:bdr w:val="none" w:sz="0" w:space="0" w:color="auto" w:frame="1"/>
          <w:shd w:val="clear" w:color="auto" w:fill="FFFFFF"/>
        </w:rPr>
      </w:pPr>
    </w:p>
    <w:p w:rsidR="00000DE3" w:rsidRPr="00000DE3" w:rsidRDefault="000448FB" w:rsidP="002A7B65">
      <w:pPr>
        <w:rPr>
          <w:rFonts w:eastAsia="Times New Roman"/>
        </w:rPr>
      </w:pPr>
      <w:r w:rsidRPr="00182791">
        <w:rPr>
          <w:rFonts w:eastAsia="Times New Roman"/>
          <w:color w:val="0B0C0C"/>
          <w:bdr w:val="none" w:sz="0" w:space="0" w:color="auto" w:frame="1"/>
          <w:shd w:val="clear" w:color="auto" w:fill="FFFFFF"/>
        </w:rPr>
        <w:t>The Joint Nautical Archaeology Policy Committee (JNAPC) has pleasure</w:t>
      </w:r>
      <w:r w:rsidR="00182791" w:rsidRPr="00182791">
        <w:rPr>
          <w:rFonts w:eastAsia="Times New Roman"/>
          <w:color w:val="0B0C0C"/>
          <w:bdr w:val="none" w:sz="0" w:space="0" w:color="auto" w:frame="1"/>
          <w:shd w:val="clear" w:color="auto" w:fill="FFFFFF"/>
        </w:rPr>
        <w:t xml:space="preserve"> in submitting its </w:t>
      </w:r>
      <w:r w:rsidR="00667510">
        <w:rPr>
          <w:rFonts w:eastAsia="Times New Roman"/>
          <w:color w:val="0B0C0C"/>
          <w:bdr w:val="none" w:sz="0" w:space="0" w:color="auto" w:frame="1"/>
          <w:shd w:val="clear" w:color="auto" w:fill="FFFFFF"/>
        </w:rPr>
        <w:t>response to the</w:t>
      </w:r>
      <w:r w:rsidR="00000DE3">
        <w:rPr>
          <w:rFonts w:eastAsia="Times New Roman"/>
          <w:color w:val="0B0C0C"/>
          <w:bdr w:val="none" w:sz="0" w:space="0" w:color="auto" w:frame="1"/>
          <w:shd w:val="clear" w:color="auto" w:fill="FFFFFF"/>
        </w:rPr>
        <w:t xml:space="preserve"> </w:t>
      </w:r>
      <w:r w:rsidR="00000DE3" w:rsidRPr="00000DE3">
        <w:rPr>
          <w:rFonts w:eastAsia="Times New Roman"/>
        </w:rPr>
        <w:t>Independent Review into</w:t>
      </w:r>
      <w:r w:rsidR="00000DE3">
        <w:rPr>
          <w:rFonts w:eastAsia="Times New Roman"/>
        </w:rPr>
        <w:t xml:space="preserve"> </w:t>
      </w:r>
      <w:r w:rsidR="00000DE3" w:rsidRPr="00000DE3">
        <w:rPr>
          <w:rFonts w:eastAsia="Times New Roman"/>
        </w:rPr>
        <w:t>Highly Protected Marine Areas</w:t>
      </w:r>
      <w:r w:rsidR="00000DE3">
        <w:rPr>
          <w:rFonts w:eastAsia="Times New Roman"/>
        </w:rPr>
        <w:t xml:space="preserve"> </w:t>
      </w:r>
      <w:r w:rsidR="009A1D76">
        <w:rPr>
          <w:rFonts w:eastAsia="Times New Roman"/>
        </w:rPr>
        <w:t xml:space="preserve">(HPMAs) </w:t>
      </w:r>
      <w:r w:rsidR="00000DE3">
        <w:rPr>
          <w:rFonts w:eastAsia="Times New Roman"/>
        </w:rPr>
        <w:t xml:space="preserve">- </w:t>
      </w:r>
      <w:r w:rsidR="00000DE3" w:rsidRPr="00000DE3">
        <w:rPr>
          <w:rFonts w:eastAsia="Times New Roman"/>
        </w:rPr>
        <w:t>Call for Evidence</w:t>
      </w:r>
      <w:r w:rsidR="00886737">
        <w:rPr>
          <w:rFonts w:eastAsia="Times New Roman"/>
        </w:rPr>
        <w:t>.</w:t>
      </w:r>
      <w:bookmarkStart w:id="0" w:name="_GoBack"/>
      <w:bookmarkEnd w:id="0"/>
    </w:p>
    <w:p w:rsidR="00667510" w:rsidRPr="00182791" w:rsidRDefault="00667510" w:rsidP="002A7B65">
      <w:pPr>
        <w:autoSpaceDE w:val="0"/>
        <w:autoSpaceDN w:val="0"/>
        <w:adjustRightInd w:val="0"/>
        <w:rPr>
          <w:rFonts w:eastAsia="Times New Roman"/>
          <w:color w:val="0B0C0C"/>
          <w:bdr w:val="none" w:sz="0" w:space="0" w:color="auto" w:frame="1"/>
          <w:shd w:val="clear" w:color="auto" w:fill="FFFFFF"/>
        </w:rPr>
      </w:pPr>
    </w:p>
    <w:p w:rsidR="00182791" w:rsidRPr="004C43F2" w:rsidRDefault="00182791" w:rsidP="002A7B65">
      <w:pPr>
        <w:keepNext/>
        <w:outlineLvl w:val="1"/>
        <w:rPr>
          <w:rFonts w:eastAsia="Calibri"/>
          <w:lang w:eastAsia="en-US"/>
        </w:rPr>
      </w:pPr>
      <w:r w:rsidRPr="004C43F2">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w:t>
      </w:r>
      <w:r>
        <w:rPr>
          <w:rFonts w:eastAsia="Calibri"/>
          <w:lang w:eastAsia="en-US"/>
        </w:rPr>
        <w:t>hown in Appendix 1</w:t>
      </w:r>
      <w:r w:rsidRPr="004C43F2">
        <w:rPr>
          <w:rFonts w:eastAsia="Calibri"/>
          <w:lang w:eastAsia="en-US"/>
        </w:rPr>
        <w:t>.</w:t>
      </w:r>
    </w:p>
    <w:p w:rsidR="00182791" w:rsidRPr="004C43F2" w:rsidRDefault="00182791" w:rsidP="002A7B65">
      <w:pPr>
        <w:keepNext/>
        <w:outlineLvl w:val="1"/>
        <w:rPr>
          <w:rFonts w:eastAsia="Calibri"/>
          <w:lang w:eastAsia="en-US"/>
        </w:rPr>
      </w:pPr>
    </w:p>
    <w:p w:rsidR="00182791" w:rsidRDefault="00182791" w:rsidP="002A7B65">
      <w:pPr>
        <w:shd w:val="clear" w:color="auto" w:fill="FFFFFF"/>
        <w:rPr>
          <w:rFonts w:eastAsia="Times New Roman"/>
        </w:rPr>
      </w:pPr>
      <w:r w:rsidRPr="004C43F2">
        <w:rPr>
          <w:rFonts w:eastAsia="Calibri"/>
          <w:lang w:eastAsia="en-US"/>
        </w:rPr>
        <w:t xml:space="preserve">The JNAPC has a membership (see Appendix </w:t>
      </w:r>
      <w:r w:rsidR="00C217A5">
        <w:rPr>
          <w:rFonts w:eastAsia="Calibri"/>
          <w:lang w:eastAsia="en-US"/>
        </w:rPr>
        <w:t>2</w:t>
      </w:r>
      <w:r w:rsidRPr="004C43F2">
        <w:rPr>
          <w:rFonts w:eastAsia="Calibri"/>
          <w:lang w:eastAsia="en-US"/>
        </w:rPr>
        <w:t>) that includes most</w:t>
      </w:r>
      <w:r w:rsidR="001F623D">
        <w:rPr>
          <w:rFonts w:eastAsia="Calibri"/>
          <w:lang w:eastAsia="en-US"/>
        </w:rPr>
        <w:t xml:space="preserve"> of the governmental, museum, academic and </w:t>
      </w:r>
      <w:r w:rsidRPr="004C43F2">
        <w:rPr>
          <w:rFonts w:eastAsia="Calibri"/>
          <w:lang w:eastAsia="en-US"/>
        </w:rPr>
        <w:t>voluntary organisations</w:t>
      </w:r>
      <w:r w:rsidR="001F623D">
        <w:rPr>
          <w:rFonts w:eastAsia="Calibri"/>
          <w:lang w:eastAsia="en-US"/>
        </w:rPr>
        <w:t>, and advisers</w:t>
      </w:r>
      <w:r w:rsidRPr="004C43F2">
        <w:rPr>
          <w:rFonts w:eastAsia="Calibri"/>
          <w:lang w:eastAsia="en-US"/>
        </w:rPr>
        <w:t xml:space="preserve"> concerned with submerged heritage assets, including the Nautical Archaeology Society,</w:t>
      </w:r>
      <w:r>
        <w:rPr>
          <w:rFonts w:eastAsia="Calibri"/>
          <w:lang w:eastAsia="en-US"/>
        </w:rPr>
        <w:t xml:space="preserve"> MAST, </w:t>
      </w:r>
      <w:r w:rsidRPr="004C43F2">
        <w:rPr>
          <w:rFonts w:eastAsia="Calibri"/>
          <w:lang w:eastAsia="en-US"/>
        </w:rPr>
        <w:t>university professionals, various governing bo</w:t>
      </w:r>
      <w:r w:rsidR="00967227">
        <w:rPr>
          <w:rFonts w:eastAsia="Calibri"/>
          <w:lang w:eastAsia="en-US"/>
        </w:rPr>
        <w:t>dies for recreational diving, providers of</w:t>
      </w:r>
      <w:r w:rsidR="00A20B59">
        <w:rPr>
          <w:rFonts w:eastAsia="Calibri"/>
          <w:lang w:eastAsia="en-US"/>
        </w:rPr>
        <w:t xml:space="preserve"> professional</w:t>
      </w:r>
      <w:r w:rsidR="00967227">
        <w:rPr>
          <w:rFonts w:eastAsia="Calibri"/>
          <w:lang w:eastAsia="en-US"/>
        </w:rPr>
        <w:t xml:space="preserve"> archaeological services</w:t>
      </w:r>
      <w:r w:rsidRPr="004C43F2">
        <w:rPr>
          <w:rFonts w:eastAsia="Calibri"/>
          <w:lang w:eastAsia="en-US"/>
        </w:rPr>
        <w:t xml:space="preserve">, the Council for British Archaeology, </w:t>
      </w:r>
      <w:r>
        <w:rPr>
          <w:rFonts w:eastAsia="Calibri"/>
          <w:lang w:eastAsia="en-US"/>
        </w:rPr>
        <w:t xml:space="preserve">and </w:t>
      </w:r>
      <w:r w:rsidRPr="004C43F2">
        <w:rPr>
          <w:rFonts w:eastAsia="Calibri"/>
          <w:lang w:eastAsia="en-US"/>
        </w:rPr>
        <w:t xml:space="preserve">the Chartered Institute for Archaeologists. </w:t>
      </w:r>
      <w:r w:rsidRPr="004C43F2">
        <w:rPr>
          <w:rFonts w:eastAsia="Times New Roman"/>
        </w:rPr>
        <w:t>The views expressed by the JNAPC do not necessarily represent the views of individual members and observers.</w:t>
      </w:r>
    </w:p>
    <w:p w:rsidR="009A1D76" w:rsidRDefault="009A1D76" w:rsidP="002A7B65">
      <w:pPr>
        <w:shd w:val="clear" w:color="auto" w:fill="FFFFFF"/>
        <w:rPr>
          <w:rFonts w:eastAsia="Times New Roman"/>
        </w:rPr>
      </w:pPr>
    </w:p>
    <w:p w:rsidR="009A1D76" w:rsidRPr="004C43F2" w:rsidRDefault="009A1D76" w:rsidP="002A7B65">
      <w:pPr>
        <w:shd w:val="clear" w:color="auto" w:fill="FFFFFF"/>
        <w:rPr>
          <w:rFonts w:eastAsia="Times New Roman"/>
          <w:color w:val="000000"/>
        </w:rPr>
      </w:pPr>
      <w:r>
        <w:rPr>
          <w:rFonts w:eastAsia="Times New Roman"/>
        </w:rPr>
        <w:t xml:space="preserve">The JNAPC is a member of the Honor Frost Foundation </w:t>
      </w:r>
      <w:r w:rsidR="00652E10">
        <w:rPr>
          <w:rFonts w:eastAsia="Times New Roman"/>
        </w:rPr>
        <w:t xml:space="preserve">(HFF) Steering Committee on Underwater Cultural Heritage and its members have contributed to the response which the HFF </w:t>
      </w:r>
      <w:r w:rsidR="00652E10">
        <w:rPr>
          <w:rFonts w:eastAsia="Times New Roman"/>
        </w:rPr>
        <w:t>Steering Committee on Underwater Cultural Heritage</w:t>
      </w:r>
      <w:r w:rsidR="00652E10">
        <w:rPr>
          <w:rFonts w:eastAsia="Times New Roman"/>
        </w:rPr>
        <w:t xml:space="preserve"> </w:t>
      </w:r>
      <w:r w:rsidR="00E859D8">
        <w:rPr>
          <w:rFonts w:eastAsia="Times New Roman"/>
        </w:rPr>
        <w:t>has made</w:t>
      </w:r>
      <w:r w:rsidR="00652E10">
        <w:rPr>
          <w:rFonts w:eastAsia="Times New Roman"/>
        </w:rPr>
        <w:t xml:space="preserve"> to this consultation. We are therefore pleased to acknowledge that the JNAPC response is based on that response.</w:t>
      </w:r>
    </w:p>
    <w:p w:rsidR="00274FFC" w:rsidRPr="004C43F2" w:rsidRDefault="00274FFC" w:rsidP="002A7B65">
      <w:pPr>
        <w:shd w:val="clear" w:color="auto" w:fill="FFFFFF"/>
        <w:rPr>
          <w:rFonts w:eastAsia="Times New Roman"/>
          <w:color w:val="0B0C0C"/>
          <w:bdr w:val="none" w:sz="0" w:space="0" w:color="auto" w:frame="1"/>
          <w:shd w:val="clear" w:color="auto" w:fill="FFFFFF"/>
        </w:rPr>
      </w:pPr>
    </w:p>
    <w:p w:rsidR="00182791" w:rsidRDefault="00FA68B8" w:rsidP="00FA68B8">
      <w:pPr>
        <w:ind w:left="851" w:hanging="851"/>
        <w:rPr>
          <w:b/>
          <w:lang w:eastAsia="en-US"/>
        </w:rPr>
      </w:pPr>
      <w:r w:rsidRPr="009A1D76">
        <w:rPr>
          <w:rFonts w:eastAsia="Times New Roman"/>
          <w:b/>
        </w:rPr>
        <w:t xml:space="preserve">Summary </w:t>
      </w:r>
      <w:r>
        <w:rPr>
          <w:rFonts w:eastAsia="Times New Roman"/>
          <w:b/>
        </w:rPr>
        <w:t xml:space="preserve">of </w:t>
      </w:r>
      <w:r w:rsidR="00182791" w:rsidRPr="00893B6C">
        <w:rPr>
          <w:b/>
          <w:lang w:eastAsia="en-US"/>
        </w:rPr>
        <w:t>JNAPC response</w:t>
      </w:r>
      <w:r w:rsidR="00DD48F7">
        <w:rPr>
          <w:b/>
          <w:lang w:eastAsia="en-US"/>
        </w:rPr>
        <w:t xml:space="preserve"> to the </w:t>
      </w:r>
      <w:r w:rsidR="002A7B65">
        <w:rPr>
          <w:b/>
          <w:lang w:eastAsia="en-US"/>
        </w:rPr>
        <w:t>Call for Evidence</w:t>
      </w:r>
    </w:p>
    <w:p w:rsidR="0036164A" w:rsidRPr="0036164A" w:rsidRDefault="0036164A" w:rsidP="002A7B65">
      <w:pPr>
        <w:numPr>
          <w:ilvl w:val="0"/>
          <w:numId w:val="4"/>
        </w:numPr>
        <w:spacing w:before="120"/>
        <w:ind w:left="567" w:hanging="567"/>
        <w:rPr>
          <w:rFonts w:eastAsia="Times New Roman"/>
        </w:rPr>
      </w:pPr>
      <w:r w:rsidRPr="0036164A">
        <w:rPr>
          <w:rFonts w:eastAsia="Times New Roman"/>
        </w:rPr>
        <w:t>The reasons for introducing HPMAs should be expanded to include ‘</w:t>
      </w:r>
      <w:proofErr w:type="gramStart"/>
      <w:r w:rsidRPr="0036164A">
        <w:rPr>
          <w:rFonts w:eastAsia="Times New Roman"/>
        </w:rPr>
        <w:t>to enable</w:t>
      </w:r>
      <w:proofErr w:type="gramEnd"/>
      <w:r w:rsidRPr="0036164A">
        <w:rPr>
          <w:rFonts w:eastAsia="Times New Roman"/>
        </w:rPr>
        <w:t xml:space="preserve"> the conservation, appreciation and enhancement of underwater cultural heritage’.</w:t>
      </w:r>
    </w:p>
    <w:p w:rsidR="0036164A" w:rsidRPr="0036164A" w:rsidRDefault="0036164A" w:rsidP="002A7B65">
      <w:pPr>
        <w:numPr>
          <w:ilvl w:val="0"/>
          <w:numId w:val="4"/>
        </w:numPr>
        <w:spacing w:before="120"/>
        <w:ind w:left="567" w:hanging="567"/>
        <w:rPr>
          <w:rFonts w:eastAsia="Times New Roman"/>
        </w:rPr>
      </w:pPr>
      <w:r w:rsidRPr="0036164A">
        <w:rPr>
          <w:rFonts w:eastAsia="Times New Roman"/>
        </w:rPr>
        <w:t>Designation of H</w:t>
      </w:r>
      <w:r w:rsidR="00C716D5">
        <w:rPr>
          <w:rFonts w:eastAsia="Times New Roman"/>
        </w:rPr>
        <w:t>PM</w:t>
      </w:r>
      <w:r w:rsidRPr="0036164A">
        <w:rPr>
          <w:rFonts w:eastAsia="Times New Roman"/>
        </w:rPr>
        <w:t xml:space="preserve">As should take into account the opportunities for enabling conservation, appreciation and enhancement of UCH within the boundary of each HPMA. </w:t>
      </w:r>
    </w:p>
    <w:p w:rsidR="0036164A" w:rsidRPr="0036164A" w:rsidRDefault="0036164A" w:rsidP="002A7B65">
      <w:pPr>
        <w:numPr>
          <w:ilvl w:val="0"/>
          <w:numId w:val="4"/>
        </w:numPr>
        <w:spacing w:before="120"/>
        <w:ind w:left="567" w:hanging="567"/>
        <w:rPr>
          <w:rFonts w:eastAsia="Times New Roman"/>
        </w:rPr>
      </w:pPr>
      <w:r w:rsidRPr="0036164A">
        <w:rPr>
          <w:rFonts w:eastAsia="Times New Roman"/>
        </w:rPr>
        <w:lastRenderedPageBreak/>
        <w:t xml:space="preserve">Designation of each </w:t>
      </w:r>
      <w:proofErr w:type="gramStart"/>
      <w:r w:rsidRPr="0036164A">
        <w:rPr>
          <w:rFonts w:eastAsia="Times New Roman"/>
        </w:rPr>
        <w:t>HP</w:t>
      </w:r>
      <w:r w:rsidR="00C716D5">
        <w:rPr>
          <w:rFonts w:eastAsia="Times New Roman"/>
        </w:rPr>
        <w:t>M</w:t>
      </w:r>
      <w:r w:rsidRPr="0036164A">
        <w:rPr>
          <w:rFonts w:eastAsia="Times New Roman"/>
        </w:rPr>
        <w:t>As</w:t>
      </w:r>
      <w:proofErr w:type="gramEnd"/>
      <w:r w:rsidRPr="0036164A">
        <w:rPr>
          <w:rFonts w:eastAsia="Times New Roman"/>
        </w:rPr>
        <w:t xml:space="preserve"> should be assessed for potential effects on UCH in terms of access and investigation.</w:t>
      </w:r>
    </w:p>
    <w:p w:rsidR="0036164A" w:rsidRDefault="0036164A" w:rsidP="002A7B65">
      <w:pPr>
        <w:numPr>
          <w:ilvl w:val="0"/>
          <w:numId w:val="4"/>
        </w:numPr>
        <w:spacing w:before="120"/>
        <w:ind w:left="567" w:hanging="567"/>
        <w:rPr>
          <w:rFonts w:eastAsia="Times New Roman"/>
        </w:rPr>
      </w:pPr>
      <w:r w:rsidRPr="0036164A">
        <w:rPr>
          <w:rFonts w:eastAsia="Times New Roman"/>
        </w:rPr>
        <w:t>Designation and management of H</w:t>
      </w:r>
      <w:r w:rsidR="00C716D5">
        <w:rPr>
          <w:rFonts w:eastAsia="Times New Roman"/>
        </w:rPr>
        <w:t>PM</w:t>
      </w:r>
      <w:r w:rsidRPr="0036164A">
        <w:rPr>
          <w:rFonts w:eastAsia="Times New Roman"/>
        </w:rPr>
        <w:t>As should acknowledge the important role that UCH can play in supporting and protecting habitats and species.</w:t>
      </w:r>
    </w:p>
    <w:p w:rsidR="001A6FFE" w:rsidRPr="0036164A" w:rsidRDefault="001A6FFE" w:rsidP="002A7B65">
      <w:pPr>
        <w:numPr>
          <w:ilvl w:val="0"/>
          <w:numId w:val="4"/>
        </w:numPr>
        <w:spacing w:before="120"/>
        <w:ind w:left="567" w:hanging="567"/>
        <w:rPr>
          <w:rFonts w:eastAsia="Times New Roman"/>
        </w:rPr>
      </w:pPr>
      <w:r>
        <w:rPr>
          <w:rFonts w:eastAsia="Times New Roman"/>
        </w:rPr>
        <w:t xml:space="preserve">The JNAPC </w:t>
      </w:r>
      <w:r w:rsidR="00C716D5">
        <w:rPr>
          <w:rFonts w:eastAsia="Times New Roman"/>
        </w:rPr>
        <w:t>proposes</w:t>
      </w:r>
      <w:r>
        <w:rPr>
          <w:rFonts w:eastAsia="Times New Roman"/>
        </w:rPr>
        <w:t xml:space="preserve"> that the Goodwin Sands be </w:t>
      </w:r>
      <w:r w:rsidR="00C716D5">
        <w:rPr>
          <w:rFonts w:eastAsia="Times New Roman"/>
        </w:rPr>
        <w:t xml:space="preserve">considered for </w:t>
      </w:r>
      <w:r>
        <w:rPr>
          <w:rFonts w:eastAsia="Times New Roman"/>
        </w:rPr>
        <w:t>designat</w:t>
      </w:r>
      <w:r w:rsidR="00C716D5">
        <w:rPr>
          <w:rFonts w:eastAsia="Times New Roman"/>
        </w:rPr>
        <w:t>ion</w:t>
      </w:r>
      <w:r>
        <w:rPr>
          <w:rFonts w:eastAsia="Times New Roman"/>
        </w:rPr>
        <w:t xml:space="preserve"> as an HP</w:t>
      </w:r>
      <w:r w:rsidR="00C716D5">
        <w:rPr>
          <w:rFonts w:eastAsia="Times New Roman"/>
        </w:rPr>
        <w:t>M</w:t>
      </w:r>
      <w:r>
        <w:rPr>
          <w:rFonts w:eastAsia="Times New Roman"/>
        </w:rPr>
        <w:t>A</w:t>
      </w:r>
      <w:r w:rsidR="001F09A0">
        <w:rPr>
          <w:rFonts w:eastAsia="Times New Roman"/>
        </w:rPr>
        <w:t xml:space="preserve">. </w:t>
      </w:r>
      <w:r w:rsidR="001F09A0">
        <w:rPr>
          <w:rFonts w:eastAsia="Times New Roman"/>
        </w:rPr>
        <w:t xml:space="preserve">As well as being a proposed Marine Conservation Zone, the Goodwin Sands </w:t>
      </w:r>
      <w:r w:rsidR="001F09A0" w:rsidRPr="0079183F">
        <w:rPr>
          <w:rStyle w:val="postal-code"/>
          <w:color w:val="0B0C0C"/>
          <w:bdr w:val="none" w:sz="0" w:space="0" w:color="auto" w:frame="1"/>
          <w:shd w:val="clear" w:color="auto" w:fill="FFFFFF"/>
        </w:rPr>
        <w:t>is one of the most important marine archaeological areas around England</w:t>
      </w:r>
      <w:r w:rsidR="001F09A0">
        <w:rPr>
          <w:rStyle w:val="postal-code"/>
          <w:color w:val="0B0C0C"/>
          <w:bdr w:val="none" w:sz="0" w:space="0" w:color="auto" w:frame="1"/>
          <w:shd w:val="clear" w:color="auto" w:fill="FFFFFF"/>
        </w:rPr>
        <w:t xml:space="preserve"> w</w:t>
      </w:r>
      <w:r w:rsidR="001F09A0" w:rsidRPr="0079183F">
        <w:rPr>
          <w:rStyle w:val="postal-code"/>
          <w:color w:val="0B0C0C"/>
          <w:bdr w:val="none" w:sz="0" w:space="0" w:color="auto" w:frame="1"/>
          <w:shd w:val="clear" w:color="auto" w:fill="FFFFFF"/>
        </w:rPr>
        <w:t xml:space="preserve">ith its </w:t>
      </w:r>
      <w:r w:rsidR="00C716D5">
        <w:rPr>
          <w:rStyle w:val="postal-code"/>
          <w:color w:val="0B0C0C"/>
          <w:bdr w:val="none" w:sz="0" w:space="0" w:color="auto" w:frame="1"/>
          <w:shd w:val="clear" w:color="auto" w:fill="FFFFFF"/>
        </w:rPr>
        <w:t xml:space="preserve">unique </w:t>
      </w:r>
      <w:r w:rsidR="001F09A0" w:rsidRPr="0079183F">
        <w:rPr>
          <w:rStyle w:val="postal-code"/>
          <w:color w:val="0B0C0C"/>
          <w:bdr w:val="none" w:sz="0" w:space="0" w:color="auto" w:frame="1"/>
          <w:shd w:val="clear" w:color="auto" w:fill="FFFFFF"/>
        </w:rPr>
        <w:t xml:space="preserve">wealth of known and potential </w:t>
      </w:r>
      <w:r w:rsidR="001F09A0">
        <w:rPr>
          <w:rStyle w:val="postal-code"/>
          <w:color w:val="0B0C0C"/>
          <w:bdr w:val="none" w:sz="0" w:space="0" w:color="auto" w:frame="1"/>
          <w:shd w:val="clear" w:color="auto" w:fill="FFFFFF"/>
        </w:rPr>
        <w:t>UCH.</w:t>
      </w:r>
    </w:p>
    <w:p w:rsidR="0036164A" w:rsidRPr="0036164A" w:rsidRDefault="0036164A" w:rsidP="002A7B65">
      <w:pPr>
        <w:numPr>
          <w:ilvl w:val="0"/>
          <w:numId w:val="4"/>
        </w:numPr>
        <w:spacing w:before="120"/>
        <w:ind w:left="567" w:hanging="567"/>
        <w:rPr>
          <w:rFonts w:eastAsia="Times New Roman"/>
        </w:rPr>
      </w:pPr>
      <w:r w:rsidRPr="0036164A">
        <w:rPr>
          <w:rFonts w:eastAsia="Times New Roman"/>
        </w:rPr>
        <w:t>Important lessons can be drawn from the designation, management and enforcement of marine protected areas designated for historic environment purposes since 1973.</w:t>
      </w:r>
    </w:p>
    <w:p w:rsidR="0036164A" w:rsidRPr="0036164A" w:rsidRDefault="0036164A" w:rsidP="002A7B65">
      <w:pPr>
        <w:numPr>
          <w:ilvl w:val="0"/>
          <w:numId w:val="4"/>
        </w:numPr>
        <w:spacing w:before="120"/>
        <w:ind w:left="567" w:hanging="567"/>
        <w:rPr>
          <w:rFonts w:eastAsia="Times New Roman"/>
        </w:rPr>
      </w:pPr>
      <w:r w:rsidRPr="0036164A">
        <w:rPr>
          <w:rFonts w:eastAsia="Times New Roman"/>
        </w:rPr>
        <w:t>The independent panel is strongly recommended to seek evidence on the identification, designation and management of highly protected marine areas from the heritage agencies in England, Scotland, Wales and Northern Ireland.</w:t>
      </w:r>
    </w:p>
    <w:p w:rsidR="00FA68B8" w:rsidRPr="0036164A" w:rsidRDefault="0036164A" w:rsidP="00FA68B8">
      <w:pPr>
        <w:numPr>
          <w:ilvl w:val="0"/>
          <w:numId w:val="4"/>
        </w:numPr>
        <w:spacing w:before="120"/>
        <w:ind w:left="567" w:hanging="567"/>
        <w:rPr>
          <w:rFonts w:eastAsia="Times New Roman"/>
        </w:rPr>
      </w:pPr>
      <w:r w:rsidRPr="0036164A">
        <w:rPr>
          <w:rFonts w:eastAsia="Times New Roman"/>
        </w:rPr>
        <w:t>A wholly integrated approach to protecting and managing the UK marine environment is strongly recommended, incorporating the historic characteristics of the marine environment (including UCH) alongside its natural characteristics.</w:t>
      </w:r>
    </w:p>
    <w:p w:rsidR="0036164A" w:rsidRDefault="0036164A" w:rsidP="00FA68B8">
      <w:pPr>
        <w:ind w:left="567" w:hanging="851"/>
        <w:rPr>
          <w:rFonts w:eastAsia="Times New Roman"/>
        </w:rPr>
      </w:pPr>
    </w:p>
    <w:p w:rsidR="00FA68B8" w:rsidRDefault="00FA68B8" w:rsidP="00FA68B8">
      <w:pPr>
        <w:ind w:left="567" w:hanging="851"/>
        <w:rPr>
          <w:rFonts w:eastAsia="Times New Roman"/>
        </w:rPr>
      </w:pPr>
      <w:r w:rsidRPr="00893B6C">
        <w:rPr>
          <w:b/>
          <w:lang w:eastAsia="en-US"/>
        </w:rPr>
        <w:t>JNAPC response</w:t>
      </w:r>
      <w:r>
        <w:rPr>
          <w:b/>
          <w:lang w:eastAsia="en-US"/>
        </w:rPr>
        <w:t xml:space="preserve"> to the Call for Evidence</w:t>
      </w:r>
    </w:p>
    <w:p w:rsidR="00FA68B8" w:rsidRPr="0036164A" w:rsidRDefault="00FA68B8" w:rsidP="00FA68B8">
      <w:pPr>
        <w:ind w:left="567" w:hanging="851"/>
        <w:rPr>
          <w:rFonts w:eastAsia="Times New Roman"/>
        </w:rPr>
      </w:pPr>
    </w:p>
    <w:p w:rsidR="0036164A" w:rsidRPr="0036164A" w:rsidRDefault="0036164A" w:rsidP="002A7B65">
      <w:pPr>
        <w:ind w:left="567" w:hanging="851"/>
        <w:rPr>
          <w:rFonts w:eastAsia="Times New Roman"/>
        </w:rPr>
      </w:pPr>
      <w:r w:rsidRPr="0036164A">
        <w:rPr>
          <w:rFonts w:eastAsia="Times New Roman"/>
        </w:rPr>
        <w:fldChar w:fldCharType="begin"/>
      </w:r>
      <w:r w:rsidRPr="0036164A">
        <w:rPr>
          <w:rFonts w:eastAsia="Times New Roman"/>
        </w:rPr>
        <w:instrText xml:space="preserve"> AUTONUMLGL  </w:instrText>
      </w:r>
      <w:r w:rsidRPr="0036164A">
        <w:rPr>
          <w:rFonts w:eastAsia="Times New Roman"/>
        </w:rPr>
        <w:fldChar w:fldCharType="end"/>
      </w:r>
      <w:r w:rsidRPr="0036164A">
        <w:rPr>
          <w:rFonts w:eastAsia="Times New Roman"/>
        </w:rPr>
        <w:tab/>
        <w:t xml:space="preserve">The </w:t>
      </w:r>
      <w:r w:rsidR="00652E10">
        <w:rPr>
          <w:rFonts w:eastAsia="Times New Roman"/>
        </w:rPr>
        <w:t>JNAPC</w:t>
      </w:r>
      <w:r w:rsidRPr="0036164A">
        <w:rPr>
          <w:rFonts w:eastAsia="Times New Roman"/>
        </w:rPr>
        <w:t xml:space="preserve"> strongly recommends that the reasons for introducing HPMAs are expanded to include ‘</w:t>
      </w:r>
      <w:proofErr w:type="gramStart"/>
      <w:r w:rsidRPr="0036164A">
        <w:rPr>
          <w:rFonts w:eastAsia="Times New Roman"/>
        </w:rPr>
        <w:t>to enable</w:t>
      </w:r>
      <w:proofErr w:type="gramEnd"/>
      <w:r w:rsidRPr="0036164A">
        <w:rPr>
          <w:rFonts w:eastAsia="Times New Roman"/>
        </w:rPr>
        <w:t xml:space="preserve"> the conservation, appreciation and enhancement of underwater cultural heritage’. We note that ‘to support or improve opportunities for cultural, spiritual, educational and/or recreational activities’ is already suggested as a reason for introducing HPMAs. It is very encouraging that the cultural, educational and recreational importance of the marine environment is recognised here as worth protecting and managing. However, we would like to underline that these benefits arise not only from the ‘natural’ marine environment, but also from cultural heritage in the marine environment. People are fascinated by information about the human past that is preserved underwater, and this evidence is a primary source of ever-increasing importance in understanding humanity’s relationships with the sea over time. Within UK waters, UCH encompasses material ranging from submerged prehistoric sites dating back over 200,000 years through to the remains of shipwrecks witnessing the conflicts – and casualties – of the twentieth century. Government recognises in para. 2.6.6.2 </w:t>
      </w:r>
      <w:proofErr w:type="gramStart"/>
      <w:r w:rsidRPr="0036164A">
        <w:rPr>
          <w:rFonts w:eastAsia="Times New Roman"/>
        </w:rPr>
        <w:t>of</w:t>
      </w:r>
      <w:proofErr w:type="gramEnd"/>
      <w:r w:rsidRPr="0036164A">
        <w:rPr>
          <w:rFonts w:eastAsia="Times New Roman"/>
        </w:rPr>
        <w:t xml:space="preserve"> the UK Marine Policy Statement</w:t>
      </w:r>
      <w:r w:rsidRPr="0036164A">
        <w:rPr>
          <w:rFonts w:eastAsia="Times New Roman"/>
          <w:vertAlign w:val="superscript"/>
        </w:rPr>
        <w:footnoteReference w:id="1"/>
      </w:r>
      <w:r w:rsidRPr="0036164A">
        <w:rPr>
          <w:rFonts w:eastAsia="Times New Roman"/>
        </w:rPr>
        <w:t xml:space="preserve"> that the historic environment as an asset of social, economic and environmental value; accordingly, the </w:t>
      </w:r>
      <w:r w:rsidR="00652E10">
        <w:rPr>
          <w:rFonts w:eastAsia="Times New Roman"/>
        </w:rPr>
        <w:t>JNAPC</w:t>
      </w:r>
      <w:r w:rsidRPr="0036164A">
        <w:rPr>
          <w:rFonts w:eastAsia="Times New Roman"/>
        </w:rPr>
        <w:t xml:space="preserve"> believes that UCH should be recognised expressly as reason for introducing HPMAs. </w:t>
      </w:r>
    </w:p>
    <w:p w:rsidR="0036164A" w:rsidRPr="0036164A" w:rsidRDefault="0036164A" w:rsidP="002A7B65">
      <w:pPr>
        <w:ind w:left="567" w:hanging="851"/>
        <w:rPr>
          <w:rFonts w:eastAsia="Times New Roman"/>
        </w:rPr>
      </w:pPr>
    </w:p>
    <w:p w:rsidR="0036164A" w:rsidRPr="0036164A" w:rsidRDefault="0036164A" w:rsidP="002A7B65">
      <w:pPr>
        <w:ind w:left="567" w:hanging="851"/>
        <w:rPr>
          <w:rFonts w:eastAsia="Times New Roman"/>
        </w:rPr>
      </w:pPr>
      <w:r w:rsidRPr="0036164A">
        <w:rPr>
          <w:rFonts w:eastAsia="Times New Roman"/>
        </w:rPr>
        <w:fldChar w:fldCharType="begin"/>
      </w:r>
      <w:r w:rsidRPr="0036164A">
        <w:rPr>
          <w:rFonts w:eastAsia="Times New Roman"/>
        </w:rPr>
        <w:instrText xml:space="preserve"> AUTONUMLGL  </w:instrText>
      </w:r>
      <w:r w:rsidRPr="0036164A">
        <w:rPr>
          <w:rFonts w:eastAsia="Times New Roman"/>
        </w:rPr>
        <w:fldChar w:fldCharType="end"/>
      </w:r>
      <w:r w:rsidRPr="0036164A">
        <w:rPr>
          <w:rFonts w:eastAsia="Times New Roman"/>
        </w:rPr>
        <w:tab/>
        <w:t xml:space="preserve">In the interests of effectively managing all HPMAs – whatever the reason for their introduction – the </w:t>
      </w:r>
      <w:r w:rsidR="00652E10">
        <w:rPr>
          <w:rFonts w:eastAsia="Times New Roman"/>
        </w:rPr>
        <w:t xml:space="preserve">JNAPC </w:t>
      </w:r>
      <w:r w:rsidRPr="0036164A">
        <w:rPr>
          <w:rFonts w:eastAsia="Times New Roman"/>
        </w:rPr>
        <w:t xml:space="preserve"> recommends that designation of HP</w:t>
      </w:r>
      <w:r w:rsidR="00C716D5">
        <w:rPr>
          <w:rFonts w:eastAsia="Times New Roman"/>
        </w:rPr>
        <w:t>M</w:t>
      </w:r>
      <w:r w:rsidRPr="0036164A">
        <w:rPr>
          <w:rFonts w:eastAsia="Times New Roman"/>
        </w:rPr>
        <w:t>As should take into account the opportunities for enabling conservation, appreciation and enhancement of UCH that lies within the boundaries of each HPMA. Incidental protection of UCH is an important added benefit of protecting marine areas for nature conservation purposes, but such benefits are rarely recognised or sought. The identification of multiple benefits, including for UCH, could strengthen the case for selecting specific HPMAs and help build public support, especially where UCH gives rise to cultural, educational or recreational benefits. Taking into account UCH within all HPMAs could also unlock other sources of data, understanding and funding to lend support to the primary purposes of the HPMA.</w:t>
      </w:r>
    </w:p>
    <w:p w:rsidR="0036164A" w:rsidRPr="0036164A" w:rsidRDefault="0036164A" w:rsidP="002A7B65">
      <w:pPr>
        <w:ind w:left="567" w:hanging="851"/>
        <w:rPr>
          <w:rFonts w:eastAsia="Times New Roman"/>
        </w:rPr>
      </w:pPr>
    </w:p>
    <w:p w:rsidR="001A6FFE" w:rsidRDefault="0036164A" w:rsidP="001A6FFE">
      <w:pPr>
        <w:ind w:left="567" w:hanging="851"/>
        <w:rPr>
          <w:rFonts w:eastAsia="Times New Roman"/>
        </w:rPr>
      </w:pPr>
      <w:r w:rsidRPr="0036164A">
        <w:rPr>
          <w:rFonts w:eastAsia="Times New Roman"/>
        </w:rPr>
        <w:lastRenderedPageBreak/>
        <w:fldChar w:fldCharType="begin"/>
      </w:r>
      <w:r w:rsidRPr="0036164A">
        <w:rPr>
          <w:rFonts w:eastAsia="Times New Roman"/>
        </w:rPr>
        <w:instrText xml:space="preserve"> AUTONUMLGL  </w:instrText>
      </w:r>
      <w:r w:rsidRPr="0036164A">
        <w:rPr>
          <w:rFonts w:eastAsia="Times New Roman"/>
        </w:rPr>
        <w:fldChar w:fldCharType="end"/>
      </w:r>
      <w:r w:rsidRPr="0036164A">
        <w:rPr>
          <w:rFonts w:eastAsia="Times New Roman"/>
        </w:rPr>
        <w:tab/>
        <w:t>Designation of each HP</w:t>
      </w:r>
      <w:r w:rsidR="00C716D5">
        <w:rPr>
          <w:rFonts w:eastAsia="Times New Roman"/>
        </w:rPr>
        <w:t>M</w:t>
      </w:r>
      <w:r w:rsidRPr="0036164A">
        <w:rPr>
          <w:rFonts w:eastAsia="Times New Roman"/>
        </w:rPr>
        <w:t>A should be assessed for its potential effects on UCH in terms of access and investigation. Public access to UCH is generally beneficial and should not be impeded by designation of HPMAs unless such access presents a specific risk to UCH. Again, we endorse the recognition offered for the cultural, spiritual, education and recreational benefits that arise from the nature and heritage in the marine environment. These benefits are widely recognised by the public, contributing to the constituency that supports protection and sound stewardship of our seas. It is far more engaging to promote sustainable access than to propose exclusion; restrictions on access should be carefully tailored and limited only to those circumstances where access will cause damage. Equally, archaeological investigation of UCH is a primary source of new knowledge and understanding of humanity’s relationship with the sea. Although some forms of investigation are necessarily intrusive, their extent and duration are usually very limited and their effects on the natural environment can be assessed and mitigated, as research for Historic England has demonstrated</w:t>
      </w:r>
      <w:r w:rsidRPr="0036164A">
        <w:rPr>
          <w:rFonts w:eastAsia="Times New Roman"/>
          <w:vertAlign w:val="superscript"/>
        </w:rPr>
        <w:footnoteReference w:id="2"/>
      </w:r>
      <w:r w:rsidRPr="0036164A">
        <w:rPr>
          <w:rFonts w:eastAsia="Times New Roman"/>
        </w:rPr>
        <w:t>. Designation and management of HPMAs should not preclude archaeological investigation.</w:t>
      </w:r>
    </w:p>
    <w:p w:rsidR="001A6FFE" w:rsidRDefault="001A6FFE" w:rsidP="001A6FFE">
      <w:pPr>
        <w:ind w:left="567" w:hanging="851"/>
        <w:rPr>
          <w:rFonts w:eastAsia="Times New Roman"/>
        </w:rPr>
      </w:pPr>
    </w:p>
    <w:p w:rsidR="00FA68B8" w:rsidRPr="00786CBF" w:rsidRDefault="0036164A" w:rsidP="001A6FFE">
      <w:pPr>
        <w:ind w:left="567" w:hanging="851"/>
        <w:rPr>
          <w:rFonts w:eastAsia="Times New Roman"/>
        </w:rPr>
      </w:pPr>
      <w:r w:rsidRPr="0036164A">
        <w:rPr>
          <w:rFonts w:eastAsia="Times New Roman"/>
        </w:rPr>
        <w:fldChar w:fldCharType="begin"/>
      </w:r>
      <w:r w:rsidRPr="0036164A">
        <w:rPr>
          <w:rFonts w:eastAsia="Times New Roman"/>
        </w:rPr>
        <w:instrText xml:space="preserve"> AUTONUMLGL  </w:instrText>
      </w:r>
      <w:r w:rsidRPr="0036164A">
        <w:rPr>
          <w:rFonts w:eastAsia="Times New Roman"/>
        </w:rPr>
        <w:fldChar w:fldCharType="end"/>
      </w:r>
      <w:r w:rsidRPr="0036164A">
        <w:rPr>
          <w:rFonts w:eastAsia="Times New Roman"/>
        </w:rPr>
        <w:tab/>
      </w:r>
      <w:r w:rsidR="00AC6B4D">
        <w:rPr>
          <w:rFonts w:eastAsia="Times New Roman"/>
        </w:rPr>
        <w:t xml:space="preserve">The JNAPC proposes that the Goodwin Sands be considered for designation as an HPMA. As well as being a proposed Marine Conservation Zone, the Goodwin Sands </w:t>
      </w:r>
      <w:r w:rsidR="004B1B73">
        <w:rPr>
          <w:rStyle w:val="postal-code"/>
          <w:color w:val="0B0C0C"/>
          <w:bdr w:val="none" w:sz="0" w:space="0" w:color="auto" w:frame="1"/>
          <w:shd w:val="clear" w:color="auto" w:fill="FFFFFF"/>
        </w:rPr>
        <w:t>is</w:t>
      </w:r>
      <w:r w:rsidR="00AC6B4D" w:rsidRPr="0079183F">
        <w:rPr>
          <w:rStyle w:val="postal-code"/>
          <w:color w:val="0B0C0C"/>
          <w:bdr w:val="none" w:sz="0" w:space="0" w:color="auto" w:frame="1"/>
          <w:shd w:val="clear" w:color="auto" w:fill="FFFFFF"/>
        </w:rPr>
        <w:t xml:space="preserve"> one of the most important marine archaeological areas around England</w:t>
      </w:r>
      <w:r w:rsidR="00AC6B4D">
        <w:rPr>
          <w:rStyle w:val="postal-code"/>
          <w:color w:val="0B0C0C"/>
          <w:bdr w:val="none" w:sz="0" w:space="0" w:color="auto" w:frame="1"/>
          <w:shd w:val="clear" w:color="auto" w:fill="FFFFFF"/>
        </w:rPr>
        <w:t xml:space="preserve"> w</w:t>
      </w:r>
      <w:r w:rsidR="00AC6B4D" w:rsidRPr="0079183F">
        <w:rPr>
          <w:rStyle w:val="postal-code"/>
          <w:color w:val="0B0C0C"/>
          <w:bdr w:val="none" w:sz="0" w:space="0" w:color="auto" w:frame="1"/>
          <w:shd w:val="clear" w:color="auto" w:fill="FFFFFF"/>
        </w:rPr>
        <w:t xml:space="preserve">ith its </w:t>
      </w:r>
      <w:r w:rsidR="00AC6B4D">
        <w:rPr>
          <w:rStyle w:val="postal-code"/>
          <w:color w:val="0B0C0C"/>
          <w:bdr w:val="none" w:sz="0" w:space="0" w:color="auto" w:frame="1"/>
          <w:shd w:val="clear" w:color="auto" w:fill="FFFFFF"/>
        </w:rPr>
        <w:t xml:space="preserve">unique </w:t>
      </w:r>
      <w:r w:rsidR="00AC6B4D" w:rsidRPr="0079183F">
        <w:rPr>
          <w:rStyle w:val="postal-code"/>
          <w:color w:val="0B0C0C"/>
          <w:bdr w:val="none" w:sz="0" w:space="0" w:color="auto" w:frame="1"/>
          <w:shd w:val="clear" w:color="auto" w:fill="FFFFFF"/>
        </w:rPr>
        <w:t xml:space="preserve">wealth of known and potential </w:t>
      </w:r>
      <w:r w:rsidR="00AC6B4D">
        <w:rPr>
          <w:rStyle w:val="postal-code"/>
          <w:color w:val="0B0C0C"/>
          <w:bdr w:val="none" w:sz="0" w:space="0" w:color="auto" w:frame="1"/>
          <w:shd w:val="clear" w:color="auto" w:fill="FFFFFF"/>
        </w:rPr>
        <w:t>UCH</w:t>
      </w:r>
      <w:r w:rsidR="001F09A0">
        <w:rPr>
          <w:rStyle w:val="postal-code"/>
          <w:color w:val="0B0C0C"/>
          <w:bdr w:val="none" w:sz="0" w:space="0" w:color="auto" w:frame="1"/>
          <w:shd w:val="clear" w:color="auto" w:fill="FFFFFF"/>
        </w:rPr>
        <w:t xml:space="preserve">. The </w:t>
      </w:r>
      <w:r w:rsidR="000A1CEB" w:rsidRPr="000A1CEB">
        <w:rPr>
          <w:rFonts w:eastAsia="Times New Roman"/>
          <w:color w:val="0B0C0C"/>
          <w:bdr w:val="none" w:sz="0" w:space="0" w:color="auto" w:frame="1"/>
          <w:shd w:val="clear" w:color="auto" w:fill="FFFFFF"/>
        </w:rPr>
        <w:t>Goodwin Sands represent</w:t>
      </w:r>
      <w:r w:rsidR="004B1B73">
        <w:rPr>
          <w:rFonts w:eastAsia="Times New Roman"/>
          <w:color w:val="0B0C0C"/>
          <w:bdr w:val="none" w:sz="0" w:space="0" w:color="auto" w:frame="1"/>
          <w:shd w:val="clear" w:color="auto" w:fill="FFFFFF"/>
        </w:rPr>
        <w:t>s</w:t>
      </w:r>
      <w:r w:rsidR="000A1CEB" w:rsidRPr="000A1CEB">
        <w:rPr>
          <w:rFonts w:eastAsia="Times New Roman"/>
          <w:color w:val="0B0C0C"/>
          <w:bdr w:val="none" w:sz="0" w:space="0" w:color="auto" w:frame="1"/>
          <w:shd w:val="clear" w:color="auto" w:fill="FFFFFF"/>
        </w:rPr>
        <w:t xml:space="preserve"> a major hazard to marine navigation and, as such, has perhaps the highest density of recorded shipping losses in the UK. Many of the most important trade routes of northern Europe pass close to </w:t>
      </w:r>
      <w:r w:rsidR="009247F4">
        <w:rPr>
          <w:rFonts w:eastAsia="Times New Roman"/>
          <w:color w:val="0B0C0C"/>
          <w:bdr w:val="none" w:sz="0" w:space="0" w:color="auto" w:frame="1"/>
          <w:shd w:val="clear" w:color="auto" w:fill="FFFFFF"/>
        </w:rPr>
        <w:t xml:space="preserve">the </w:t>
      </w:r>
      <w:r w:rsidR="000A1CEB" w:rsidRPr="000A1CEB">
        <w:rPr>
          <w:rFonts w:eastAsia="Times New Roman"/>
          <w:color w:val="0B0C0C"/>
          <w:bdr w:val="none" w:sz="0" w:space="0" w:color="auto" w:frame="1"/>
          <w:shd w:val="clear" w:color="auto" w:fill="FFFFFF"/>
        </w:rPr>
        <w:t>Goodwin Sands, which are located offshore of the Downs, formerly one of the most important commercial and naval anchorages off the English Coast. It has been estimated that over 800 shipwrecks have been have b</w:t>
      </w:r>
      <w:r w:rsidR="000A1CEB">
        <w:rPr>
          <w:rFonts w:eastAsia="Times New Roman"/>
          <w:color w:val="0B0C0C"/>
          <w:bdr w:val="none" w:sz="0" w:space="0" w:color="auto" w:frame="1"/>
          <w:shd w:val="clear" w:color="auto" w:fill="FFFFFF"/>
        </w:rPr>
        <w:t xml:space="preserve">een documented on </w:t>
      </w:r>
      <w:r w:rsidR="009247F4">
        <w:rPr>
          <w:rFonts w:eastAsia="Times New Roman"/>
          <w:color w:val="0B0C0C"/>
          <w:bdr w:val="none" w:sz="0" w:space="0" w:color="auto" w:frame="1"/>
          <w:shd w:val="clear" w:color="auto" w:fill="FFFFFF"/>
        </w:rPr>
        <w:t xml:space="preserve">the </w:t>
      </w:r>
      <w:r w:rsidR="000A1CEB">
        <w:rPr>
          <w:rFonts w:eastAsia="Times New Roman"/>
          <w:color w:val="0B0C0C"/>
          <w:bdr w:val="none" w:sz="0" w:space="0" w:color="auto" w:frame="1"/>
          <w:shd w:val="clear" w:color="auto" w:fill="FFFFFF"/>
        </w:rPr>
        <w:t>Goodwin Sands</w:t>
      </w:r>
      <w:r w:rsidR="000A1CEB" w:rsidRPr="000A1CEB">
        <w:rPr>
          <w:rFonts w:eastAsia="Times New Roman"/>
          <w:color w:val="0B0C0C"/>
          <w:bdr w:val="none" w:sz="0" w:space="0" w:color="auto" w:frame="1"/>
          <w:shd w:val="clear" w:color="auto" w:fill="FFFFFF"/>
        </w:rPr>
        <w:t xml:space="preserve">. </w:t>
      </w:r>
      <w:r w:rsidR="000A1CEB">
        <w:rPr>
          <w:rFonts w:eastAsia="Times New Roman"/>
          <w:color w:val="0B0C0C"/>
          <w:bdr w:val="none" w:sz="0" w:space="0" w:color="auto" w:frame="1"/>
          <w:shd w:val="clear" w:color="auto" w:fill="FFFFFF"/>
        </w:rPr>
        <w:t>This</w:t>
      </w:r>
      <w:r w:rsidR="000A1CEB" w:rsidRPr="000A1CEB">
        <w:rPr>
          <w:rFonts w:eastAsia="Times New Roman"/>
          <w:color w:val="0B0C0C"/>
          <w:bdr w:val="none" w:sz="0" w:space="0" w:color="auto" w:frame="1"/>
          <w:shd w:val="clear" w:color="auto" w:fill="FFFFFF"/>
        </w:rPr>
        <w:t xml:space="preserve"> </w:t>
      </w:r>
      <w:r w:rsidR="000A1CEB" w:rsidRPr="00786CBF">
        <w:rPr>
          <w:rFonts w:eastAsia="Times New Roman"/>
          <w:color w:val="0B0C0C"/>
          <w:bdr w:val="none" w:sz="0" w:space="0" w:color="auto" w:frame="1"/>
          <w:shd w:val="clear" w:color="auto" w:fill="FFFFFF"/>
        </w:rPr>
        <w:t xml:space="preserve">means that the potential for the presence of unrecorded </w:t>
      </w:r>
      <w:r w:rsidR="009247F4">
        <w:rPr>
          <w:rFonts w:eastAsia="Times New Roman"/>
          <w:color w:val="0B0C0C"/>
          <w:bdr w:val="none" w:sz="0" w:space="0" w:color="auto" w:frame="1"/>
          <w:shd w:val="clear" w:color="auto" w:fill="FFFFFF"/>
        </w:rPr>
        <w:t>ship</w:t>
      </w:r>
      <w:r w:rsidR="000A1CEB" w:rsidRPr="00786CBF">
        <w:rPr>
          <w:rFonts w:eastAsia="Times New Roman"/>
          <w:color w:val="0B0C0C"/>
          <w:bdr w:val="none" w:sz="0" w:space="0" w:color="auto" w:frame="1"/>
          <w:shd w:val="clear" w:color="auto" w:fill="FFFFFF"/>
        </w:rPr>
        <w:t>wrecks on Goodwin Sands is very high</w:t>
      </w:r>
      <w:r w:rsidR="009247F4">
        <w:rPr>
          <w:rFonts w:eastAsia="Times New Roman"/>
          <w:color w:val="0B0C0C"/>
          <w:bdr w:val="none" w:sz="0" w:space="0" w:color="auto" w:frame="1"/>
          <w:shd w:val="clear" w:color="auto" w:fill="FFFFFF"/>
        </w:rPr>
        <w:t xml:space="preserve"> and t</w:t>
      </w:r>
      <w:r w:rsidR="000A1CEB" w:rsidRPr="00786CBF">
        <w:rPr>
          <w:rFonts w:eastAsia="Times New Roman"/>
          <w:color w:val="0B0C0C"/>
          <w:bdr w:val="none" w:sz="0" w:space="0" w:color="auto" w:frame="1"/>
          <w:shd w:val="clear" w:color="auto" w:fill="FFFFFF"/>
        </w:rPr>
        <w:t xml:space="preserve">here is also </w:t>
      </w:r>
      <w:r w:rsidR="000A1CEB" w:rsidRPr="00786CBF">
        <w:rPr>
          <w:rFonts w:eastAsia="Times New Roman"/>
          <w:color w:val="0B0C0C"/>
          <w:bdr w:val="none" w:sz="0" w:space="0" w:color="auto" w:frame="1"/>
          <w:shd w:val="clear" w:color="auto" w:fill="FFFFFF"/>
        </w:rPr>
        <w:t xml:space="preserve">high potential for the remains of crashed aircraft </w:t>
      </w:r>
      <w:r w:rsidR="00786CBF">
        <w:rPr>
          <w:rFonts w:eastAsia="Times New Roman"/>
          <w:color w:val="0B0C0C"/>
          <w:bdr w:val="none" w:sz="0" w:space="0" w:color="auto" w:frame="1"/>
          <w:shd w:val="clear" w:color="auto" w:fill="FFFFFF"/>
        </w:rPr>
        <w:t xml:space="preserve">from the Second World War </w:t>
      </w:r>
      <w:r w:rsidR="00786CBF" w:rsidRPr="00786CBF">
        <w:rPr>
          <w:rFonts w:eastAsia="Times New Roman"/>
          <w:color w:val="0B0C0C"/>
          <w:bdr w:val="none" w:sz="0" w:space="0" w:color="auto" w:frame="1"/>
          <w:shd w:val="clear" w:color="auto" w:fill="FFFFFF"/>
        </w:rPr>
        <w:t xml:space="preserve">to be found </w:t>
      </w:r>
      <w:r w:rsidR="000A1CEB" w:rsidRPr="00786CBF">
        <w:rPr>
          <w:rFonts w:eastAsia="Times New Roman"/>
          <w:color w:val="0B0C0C"/>
          <w:bdr w:val="none" w:sz="0" w:space="0" w:color="auto" w:frame="1"/>
          <w:shd w:val="clear" w:color="auto" w:fill="FFFFFF"/>
        </w:rPr>
        <w:t xml:space="preserve">on </w:t>
      </w:r>
      <w:r w:rsidR="00786CBF" w:rsidRPr="00786CBF">
        <w:rPr>
          <w:rFonts w:eastAsia="Times New Roman"/>
          <w:color w:val="0B0C0C"/>
          <w:bdr w:val="none" w:sz="0" w:space="0" w:color="auto" w:frame="1"/>
          <w:shd w:val="clear" w:color="auto" w:fill="FFFFFF"/>
        </w:rPr>
        <w:t xml:space="preserve">the </w:t>
      </w:r>
      <w:r w:rsidR="000A1CEB" w:rsidRPr="00786CBF">
        <w:rPr>
          <w:rFonts w:eastAsia="Times New Roman"/>
          <w:color w:val="0B0C0C"/>
          <w:bdr w:val="none" w:sz="0" w:space="0" w:color="auto" w:frame="1"/>
          <w:shd w:val="clear" w:color="auto" w:fill="FFFFFF"/>
        </w:rPr>
        <w:t>Sands.</w:t>
      </w:r>
    </w:p>
    <w:p w:rsidR="00FA68B8" w:rsidRDefault="00FA68B8" w:rsidP="002A7B65">
      <w:pPr>
        <w:ind w:left="567" w:hanging="851"/>
        <w:rPr>
          <w:rFonts w:eastAsia="Times New Roman"/>
        </w:rPr>
      </w:pPr>
    </w:p>
    <w:p w:rsidR="0036164A" w:rsidRPr="0036164A" w:rsidRDefault="00FA68B8" w:rsidP="002A7B65">
      <w:pPr>
        <w:ind w:left="567" w:hanging="851"/>
        <w:rPr>
          <w:rFonts w:eastAsia="Times New Roman"/>
        </w:rPr>
      </w:pPr>
      <w:r>
        <w:rPr>
          <w:rFonts w:eastAsia="Times New Roman"/>
        </w:rPr>
        <w:t>5.</w:t>
      </w:r>
      <w:r>
        <w:rPr>
          <w:rFonts w:eastAsia="Times New Roman"/>
        </w:rPr>
        <w:tab/>
      </w:r>
      <w:r w:rsidR="0036164A" w:rsidRPr="0036164A">
        <w:rPr>
          <w:rFonts w:eastAsia="Times New Roman"/>
        </w:rPr>
        <w:t>The proposed reasons for introducing HP</w:t>
      </w:r>
      <w:r w:rsidR="00C716D5">
        <w:rPr>
          <w:rFonts w:eastAsia="Times New Roman"/>
        </w:rPr>
        <w:t>M</w:t>
      </w:r>
      <w:r w:rsidR="0036164A" w:rsidRPr="0036164A">
        <w:rPr>
          <w:rFonts w:eastAsia="Times New Roman"/>
        </w:rPr>
        <w:t>As include references to ‘as natural a state as possible’, ‘all damaging human activities’ and ‘nature-based’ tourism. This emphasis fails to recognise that much of the UK marine environment reflects a combination of both human and natural processes over many centuries. Our marine environment has a human history that may make a positive contribution to its character; not all human activities are damaging; and the cultural as well as natural components of the marine environment can be a valuable basis for tourism. The interplay of natural and human processes is especially evident on metal shipwrecks, which offer niches, refuges and nurseries that contribute to the abundance and diversity of life around these ‘artificial reefs’. Designation and management of HP</w:t>
      </w:r>
      <w:r w:rsidR="00E859D8">
        <w:rPr>
          <w:rFonts w:eastAsia="Times New Roman"/>
        </w:rPr>
        <w:t>M</w:t>
      </w:r>
      <w:r w:rsidR="0036164A" w:rsidRPr="0036164A">
        <w:rPr>
          <w:rFonts w:eastAsia="Times New Roman"/>
        </w:rPr>
        <w:t>As should acknowledge the important role that UCH can play in supporting and protecting habitats and species, providing benefits for the marine environment as individual sites and as interconnected networks.</w:t>
      </w:r>
    </w:p>
    <w:p w:rsidR="0036164A" w:rsidRPr="0036164A" w:rsidRDefault="0036164A" w:rsidP="002A7B65">
      <w:pPr>
        <w:ind w:left="567" w:hanging="851"/>
        <w:rPr>
          <w:rFonts w:eastAsia="Times New Roman"/>
        </w:rPr>
      </w:pPr>
    </w:p>
    <w:p w:rsidR="0036164A" w:rsidRPr="0036164A" w:rsidRDefault="00FA68B8" w:rsidP="002A7B65">
      <w:pPr>
        <w:ind w:left="567" w:hanging="851"/>
        <w:rPr>
          <w:rFonts w:eastAsia="Times New Roman"/>
        </w:rPr>
      </w:pPr>
      <w:r>
        <w:rPr>
          <w:rFonts w:eastAsia="Times New Roman"/>
        </w:rPr>
        <w:t>6.</w:t>
      </w:r>
      <w:r w:rsidR="0036164A" w:rsidRPr="0036164A">
        <w:rPr>
          <w:rFonts w:eastAsia="Times New Roman"/>
        </w:rPr>
        <w:tab/>
        <w:t>Lessons can be drawn from the designation, management and enforcement of marine protected areas designated for historic environment purposes since 1973. These areas – designated under the Protection of Wrecks Act (PWA) 1973 and the Ancient Monuments and Archaeological Areas Act (AMAA) 1979, for example – offer important experience because they generally provide a higher level of protection from a range of marine activities than is the case for nature conservation MPAs, though over a smaller area. The introduction of Historic Marine Protected Areas (HMPAs) in Scotland to take the place of areas restricted by the PWA 1973 is especially relevant</w:t>
      </w:r>
      <w:r w:rsidR="0036164A" w:rsidRPr="0036164A">
        <w:rPr>
          <w:rFonts w:eastAsia="Times New Roman"/>
          <w:vertAlign w:val="superscript"/>
        </w:rPr>
        <w:footnoteReference w:id="3"/>
      </w:r>
      <w:r w:rsidR="0036164A" w:rsidRPr="0036164A">
        <w:rPr>
          <w:rFonts w:eastAsia="Times New Roman"/>
        </w:rPr>
        <w:t xml:space="preserve">. </w:t>
      </w:r>
    </w:p>
    <w:p w:rsidR="0036164A" w:rsidRPr="0036164A" w:rsidRDefault="0036164A" w:rsidP="002A7B65">
      <w:pPr>
        <w:ind w:left="567" w:hanging="851"/>
        <w:rPr>
          <w:rFonts w:eastAsia="Times New Roman"/>
        </w:rPr>
      </w:pPr>
    </w:p>
    <w:p w:rsidR="0036164A" w:rsidRPr="0036164A" w:rsidRDefault="00FA68B8" w:rsidP="002A7B65">
      <w:pPr>
        <w:ind w:left="567" w:hanging="851"/>
        <w:rPr>
          <w:rFonts w:eastAsia="Times New Roman"/>
        </w:rPr>
      </w:pPr>
      <w:r>
        <w:rPr>
          <w:rFonts w:eastAsia="Times New Roman"/>
        </w:rPr>
        <w:t>7.</w:t>
      </w:r>
      <w:r w:rsidR="0036164A" w:rsidRPr="0036164A">
        <w:rPr>
          <w:rFonts w:eastAsia="Times New Roman"/>
        </w:rPr>
        <w:tab/>
        <w:t>The historic environment sector has over 45 years of implementing highly protected marine areas from which other marine sectors can draw. Extensive experience is available about site selection for UCH from the heritage agencies in each home country: Historic England</w:t>
      </w:r>
      <w:r w:rsidR="0036164A" w:rsidRPr="0036164A">
        <w:rPr>
          <w:rFonts w:eastAsia="Times New Roman"/>
          <w:vertAlign w:val="superscript"/>
        </w:rPr>
        <w:footnoteReference w:id="4"/>
      </w:r>
      <w:r w:rsidR="0036164A" w:rsidRPr="0036164A">
        <w:rPr>
          <w:rFonts w:eastAsia="Times New Roman"/>
        </w:rPr>
        <w:t>; Historic Environment Scotland</w:t>
      </w:r>
      <w:r w:rsidR="0036164A" w:rsidRPr="0036164A">
        <w:rPr>
          <w:rFonts w:eastAsia="Times New Roman"/>
          <w:vertAlign w:val="superscript"/>
        </w:rPr>
        <w:footnoteReference w:id="5"/>
      </w:r>
      <w:r w:rsidR="0036164A" w:rsidRPr="0036164A">
        <w:rPr>
          <w:rFonts w:eastAsia="Times New Roman"/>
        </w:rPr>
        <w:t>; Cadw</w:t>
      </w:r>
      <w:r w:rsidR="0036164A" w:rsidRPr="0036164A">
        <w:rPr>
          <w:rFonts w:eastAsia="Times New Roman"/>
          <w:vertAlign w:val="superscript"/>
        </w:rPr>
        <w:footnoteReference w:id="6"/>
      </w:r>
      <w:r w:rsidR="0036164A" w:rsidRPr="0036164A">
        <w:rPr>
          <w:rFonts w:eastAsia="Times New Roman"/>
        </w:rPr>
        <w:t>; Marine and Fisheries Division of DAERA (Northern Ireland)</w:t>
      </w:r>
      <w:r w:rsidR="0036164A" w:rsidRPr="0036164A">
        <w:rPr>
          <w:rFonts w:eastAsia="Times New Roman"/>
          <w:vertAlign w:val="superscript"/>
        </w:rPr>
        <w:footnoteReference w:id="7"/>
      </w:r>
      <w:r w:rsidR="0036164A" w:rsidRPr="0036164A">
        <w:rPr>
          <w:rFonts w:eastAsia="Times New Roman"/>
        </w:rPr>
        <w:t>. These heritage agencies, working closely with civil society including volunteers, already have considerable experience of implementing and managing HPMAs. Consequently, it is recommended that future implementation and management of UCH within HPMAs is modelled closely on existing management. The independent review panel is strongly recommended to seek evidence on the identification, designation and management of historic environment MPAs from the heritage agencies in England, Scotland, Wales and Northern Ireland.</w:t>
      </w:r>
    </w:p>
    <w:p w:rsidR="0036164A" w:rsidRPr="0036164A" w:rsidRDefault="0036164A" w:rsidP="002A7B65">
      <w:pPr>
        <w:ind w:left="567" w:hanging="851"/>
        <w:rPr>
          <w:rFonts w:eastAsia="Times New Roman"/>
        </w:rPr>
      </w:pPr>
    </w:p>
    <w:p w:rsidR="0036164A" w:rsidRPr="0036164A" w:rsidRDefault="00FA68B8" w:rsidP="002A7B65">
      <w:pPr>
        <w:ind w:left="567" w:hanging="851"/>
        <w:rPr>
          <w:rFonts w:eastAsia="Times New Roman"/>
        </w:rPr>
      </w:pPr>
      <w:r>
        <w:rPr>
          <w:rFonts w:eastAsia="Times New Roman"/>
        </w:rPr>
        <w:t>8.</w:t>
      </w:r>
      <w:r w:rsidR="0036164A" w:rsidRPr="0036164A">
        <w:rPr>
          <w:rFonts w:eastAsia="Times New Roman"/>
        </w:rPr>
        <w:tab/>
        <w:t xml:space="preserve">Too often, UK policy towards the marine environment is both blinkered and myopic, focussing on one or two characteristics and failing to recognise the rich complexity that marine places present. Opportunities to comprehensively quantify, understand and monitor the environment are missed; the </w:t>
      </w:r>
      <w:proofErr w:type="gramStart"/>
      <w:r w:rsidR="0036164A" w:rsidRPr="0036164A">
        <w:rPr>
          <w:rFonts w:eastAsia="Times New Roman"/>
        </w:rPr>
        <w:t>scope for synergistic approaches to management are</w:t>
      </w:r>
      <w:proofErr w:type="gramEnd"/>
      <w:r w:rsidR="0036164A" w:rsidRPr="0036164A">
        <w:rPr>
          <w:rFonts w:eastAsia="Times New Roman"/>
        </w:rPr>
        <w:t xml:space="preserve"> unrecognised; and the best of intentions are undermined by partial, fragmented perspectives. Our seas cannot bear yet another round of marine protection that persists with a narrow, sectoral approach. Any new measures must be comprehensive: open to the insights that arise from understanding past human interaction with the marine environment, and engaging people with narratives for change that are rooted in respect for their history. A wholly integrated approach to the protection and management of the UK marine environment is strongly recommended, incorporating the historic characteristics of the marine environment (including UCH) alongside its natural characteristics. Integration of the natural and historic marine environment should apply throughout Defra policy, but is especially apposite for marine protected areas including HPMAs because of the mutual benefits that will arise.</w:t>
      </w:r>
    </w:p>
    <w:p w:rsidR="0036164A" w:rsidRPr="0036164A" w:rsidRDefault="0036164A" w:rsidP="002A7B65">
      <w:pPr>
        <w:spacing w:before="120"/>
        <w:rPr>
          <w:rFonts w:eastAsia="Times New Roman"/>
        </w:rPr>
      </w:pPr>
    </w:p>
    <w:p w:rsidR="0034717F" w:rsidRDefault="0034717F" w:rsidP="002A7B65">
      <w:pPr>
        <w:overflowPunct w:val="0"/>
        <w:autoSpaceDE w:val="0"/>
        <w:autoSpaceDN w:val="0"/>
        <w:adjustRightInd w:val="0"/>
        <w:textAlignment w:val="baseline"/>
      </w:pPr>
      <w:r>
        <w:t>If the JNAPC can be of any further assistance in this matter do pleas</w:t>
      </w:r>
      <w:r w:rsidR="00DF68E4">
        <w:t>e</w:t>
      </w:r>
      <w:r>
        <w:t xml:space="preserve"> get in touch.</w:t>
      </w:r>
    </w:p>
    <w:p w:rsidR="0094170C" w:rsidRPr="000448FB" w:rsidRDefault="0094170C" w:rsidP="002A7B65">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2A7B65">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 xml:space="preserve">Yours </w:t>
      </w:r>
      <w:r w:rsidR="00466AFD">
        <w:rPr>
          <w:rFonts w:eastAsia="Times New Roman"/>
          <w:bdr w:val="none" w:sz="0" w:space="0" w:color="auto" w:frame="1"/>
          <w:shd w:val="clear" w:color="auto" w:fill="FFFFFF"/>
        </w:rPr>
        <w:t>sincerely</w:t>
      </w:r>
    </w:p>
    <w:p w:rsidR="000448FB" w:rsidRPr="000448FB" w:rsidRDefault="000448FB" w:rsidP="002A7B65">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2A7B65">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2A7B65">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2A7B65">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2A7B65">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2A7B65">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R A Yorke</w:t>
      </w:r>
    </w:p>
    <w:p w:rsidR="00BF55E8" w:rsidRDefault="000448FB" w:rsidP="002A7B65">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Chairman</w:t>
      </w:r>
    </w:p>
    <w:p w:rsidR="00E843E3" w:rsidRDefault="00E843E3" w:rsidP="002A7B65">
      <w:pPr>
        <w:overflowPunct w:val="0"/>
        <w:autoSpaceDE w:val="0"/>
        <w:autoSpaceDN w:val="0"/>
        <w:adjustRightInd w:val="0"/>
        <w:jc w:val="both"/>
        <w:textAlignment w:val="baseline"/>
        <w:rPr>
          <w:rFonts w:eastAsia="Times New Roman"/>
          <w:bdr w:val="none" w:sz="0" w:space="0" w:color="auto" w:frame="1"/>
          <w:shd w:val="clear" w:color="auto" w:fill="FFFFFF"/>
        </w:rPr>
      </w:pPr>
    </w:p>
    <w:p w:rsidR="00BF55E8" w:rsidRDefault="00E843E3" w:rsidP="002A7B65">
      <w:pPr>
        <w:overflowPunct w:val="0"/>
        <w:autoSpaceDE w:val="0"/>
        <w:autoSpaceDN w:val="0"/>
        <w:adjustRightInd w:val="0"/>
        <w:jc w:val="both"/>
        <w:textAlignment w:val="baseline"/>
        <w:rPr>
          <w:rFonts w:eastAsia="Times New Roman"/>
          <w:bdr w:val="none" w:sz="0" w:space="0" w:color="auto" w:frame="1"/>
          <w:shd w:val="clear" w:color="auto" w:fill="FFFFFF"/>
        </w:rPr>
      </w:pPr>
      <w:r>
        <w:rPr>
          <w:rFonts w:eastAsia="Times New Roman"/>
          <w:bdr w:val="none" w:sz="0" w:space="0" w:color="auto" w:frame="1"/>
          <w:shd w:val="clear" w:color="auto" w:fill="FFFFFF"/>
        </w:rPr>
        <w:t>Mobile: 07860 559445</w:t>
      </w:r>
    </w:p>
    <w:p w:rsidR="00BF55E8" w:rsidRDefault="000148E2" w:rsidP="002A7B65">
      <w:pPr>
        <w:overflowPunct w:val="0"/>
        <w:autoSpaceDE w:val="0"/>
        <w:autoSpaceDN w:val="0"/>
        <w:adjustRightInd w:val="0"/>
        <w:jc w:val="both"/>
        <w:textAlignment w:val="baseline"/>
        <w:rPr>
          <w:rFonts w:eastAsia="Times New Roman"/>
          <w:bdr w:val="none" w:sz="0" w:space="0" w:color="auto" w:frame="1"/>
          <w:shd w:val="clear" w:color="auto" w:fill="FFFFFF"/>
        </w:rPr>
      </w:pPr>
      <w:hyperlink r:id="rId11" w:history="1">
        <w:r w:rsidR="00BF55E8" w:rsidRPr="00507917">
          <w:rPr>
            <w:rStyle w:val="Hyperlink"/>
            <w:rFonts w:eastAsia="Times New Roman"/>
            <w:bdr w:val="none" w:sz="0" w:space="0" w:color="auto" w:frame="1"/>
            <w:shd w:val="clear" w:color="auto" w:fill="FFFFFF"/>
          </w:rPr>
          <w:t>robert.yorke@btinternet.com</w:t>
        </w:r>
      </w:hyperlink>
    </w:p>
    <w:p w:rsidR="00BF55E8" w:rsidRDefault="000148E2" w:rsidP="002A7B65">
      <w:pPr>
        <w:overflowPunct w:val="0"/>
        <w:autoSpaceDE w:val="0"/>
        <w:autoSpaceDN w:val="0"/>
        <w:adjustRightInd w:val="0"/>
        <w:jc w:val="both"/>
        <w:textAlignment w:val="baseline"/>
        <w:rPr>
          <w:rFonts w:eastAsia="Times New Roman"/>
          <w:bdr w:val="none" w:sz="0" w:space="0" w:color="auto" w:frame="1"/>
          <w:shd w:val="clear" w:color="auto" w:fill="FFFFFF"/>
        </w:rPr>
      </w:pPr>
      <w:hyperlink r:id="rId12" w:history="1">
        <w:r w:rsidR="00BF55E8" w:rsidRPr="00507917">
          <w:rPr>
            <w:rStyle w:val="Hyperlink"/>
            <w:rFonts w:eastAsia="Times New Roman"/>
            <w:bdr w:val="none" w:sz="0" w:space="0" w:color="auto" w:frame="1"/>
            <w:shd w:val="clear" w:color="auto" w:fill="FFFFFF"/>
          </w:rPr>
          <w:t>www.jnapc.org.uk</w:t>
        </w:r>
      </w:hyperlink>
      <w:r w:rsidR="00BF55E8">
        <w:rPr>
          <w:rFonts w:eastAsia="Times New Roman"/>
          <w:bdr w:val="none" w:sz="0" w:space="0" w:color="auto" w:frame="1"/>
          <w:shd w:val="clear" w:color="auto" w:fill="FFFFFF"/>
        </w:rPr>
        <w:t xml:space="preserve"> </w:t>
      </w:r>
    </w:p>
    <w:p w:rsidR="00BF55E8" w:rsidRDefault="00BF55E8" w:rsidP="002A7B65">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br w:type="page"/>
      </w:r>
    </w:p>
    <w:p w:rsidR="000448FB" w:rsidRPr="000448FB" w:rsidRDefault="000448FB" w:rsidP="000448FB">
      <w:pPr>
        <w:keepNext/>
        <w:autoSpaceDN w:val="0"/>
        <w:jc w:val="right"/>
        <w:outlineLvl w:val="5"/>
        <w:rPr>
          <w:rFonts w:eastAsia="Calibri"/>
          <w:szCs w:val="22"/>
          <w:lang w:val="en-US" w:eastAsia="en-US"/>
        </w:rPr>
      </w:pPr>
      <w:r w:rsidRPr="000448FB">
        <w:rPr>
          <w:rFonts w:eastAsia="Calibri"/>
          <w:szCs w:val="22"/>
          <w:lang w:val="en-US" w:eastAsia="en-US"/>
        </w:rPr>
        <w:lastRenderedPageBreak/>
        <w:t>Appendix 1</w:t>
      </w:r>
    </w:p>
    <w:p w:rsidR="000448FB" w:rsidRPr="000448FB" w:rsidRDefault="000448FB" w:rsidP="000448FB">
      <w:pPr>
        <w:keepNext/>
        <w:autoSpaceDN w:val="0"/>
        <w:jc w:val="right"/>
        <w:outlineLvl w:val="5"/>
        <w:rPr>
          <w:rFonts w:eastAsia="Calibri"/>
          <w:b/>
          <w:szCs w:val="22"/>
          <w:lang w:val="en-US" w:eastAsia="en-US"/>
        </w:rPr>
      </w:pPr>
    </w:p>
    <w:p w:rsidR="000448FB" w:rsidRPr="000448FB" w:rsidRDefault="000448FB" w:rsidP="000448FB">
      <w:pPr>
        <w:keepNext/>
        <w:autoSpaceDN w:val="0"/>
        <w:jc w:val="center"/>
        <w:outlineLvl w:val="5"/>
        <w:rPr>
          <w:rFonts w:eastAsia="Calibri"/>
          <w:b/>
          <w:szCs w:val="22"/>
          <w:lang w:val="en-US" w:eastAsia="en-US"/>
        </w:rPr>
      </w:pPr>
      <w:r w:rsidRPr="000448FB">
        <w:rPr>
          <w:rFonts w:eastAsia="Calibri"/>
          <w:b/>
          <w:szCs w:val="22"/>
          <w:lang w:val="en-US" w:eastAsia="en-US"/>
        </w:rPr>
        <w:t>JOINT  NAUTICAL  ARCHAEOLOGY  POLICY  COMMITTEE</w:t>
      </w:r>
    </w:p>
    <w:p w:rsidR="000448FB" w:rsidRPr="000448FB" w:rsidRDefault="000448FB" w:rsidP="000448FB">
      <w:pPr>
        <w:jc w:val="both"/>
        <w:rPr>
          <w:rFonts w:eastAsia="Calibri"/>
          <w:szCs w:val="22"/>
          <w:lang w:val="en-US" w:eastAsia="en-US"/>
        </w:rPr>
      </w:pPr>
    </w:p>
    <w:p w:rsidR="000448FB" w:rsidRPr="000448FB" w:rsidRDefault="000448FB" w:rsidP="000448FB">
      <w:pPr>
        <w:keepNext/>
        <w:overflowPunct w:val="0"/>
        <w:autoSpaceDE w:val="0"/>
        <w:autoSpaceDN w:val="0"/>
        <w:adjustRightInd w:val="0"/>
        <w:jc w:val="center"/>
        <w:outlineLvl w:val="5"/>
        <w:rPr>
          <w:rFonts w:eastAsia="Times New Roman"/>
          <w:b/>
          <w:szCs w:val="20"/>
        </w:rPr>
      </w:pPr>
      <w:r w:rsidRPr="000448FB">
        <w:rPr>
          <w:rFonts w:eastAsia="Times New Roman"/>
          <w:b/>
          <w:szCs w:val="20"/>
        </w:rPr>
        <w:t>THE JNAPC   -   PAST, PRESENT AND FUTURE</w:t>
      </w:r>
    </w:p>
    <w:p w:rsidR="000448FB" w:rsidRPr="000448FB" w:rsidRDefault="000448FB" w:rsidP="000448FB">
      <w:pPr>
        <w:jc w:val="both"/>
        <w:rPr>
          <w:rFonts w:eastAsia="Calibri"/>
          <w:szCs w:val="22"/>
          <w:lang w:val="en-US" w:eastAsia="en-US"/>
        </w:rPr>
      </w:pPr>
    </w:p>
    <w:p w:rsidR="000448FB" w:rsidRPr="000448FB" w:rsidRDefault="000448FB" w:rsidP="000448FB">
      <w:pPr>
        <w:rPr>
          <w:rFonts w:eastAsia="Calibri"/>
          <w:szCs w:val="22"/>
          <w:lang w:val="en-US" w:eastAsia="en-US"/>
        </w:rPr>
      </w:pPr>
      <w:r w:rsidRPr="000448FB">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launched </w:t>
      </w:r>
      <w:r w:rsidRPr="000448FB">
        <w:rPr>
          <w:rFonts w:eastAsia="Calibri"/>
          <w:i/>
          <w:szCs w:val="22"/>
          <w:lang w:val="en-US" w:eastAsia="en-US"/>
        </w:rPr>
        <w:t>Heritage at Sea</w:t>
      </w:r>
      <w:r w:rsidRPr="000448FB">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Government responded to </w:t>
      </w:r>
      <w:r w:rsidRPr="000448FB">
        <w:rPr>
          <w:rFonts w:eastAsia="Calibri"/>
          <w:i/>
          <w:szCs w:val="22"/>
          <w:lang w:val="en-US" w:eastAsia="en-US"/>
        </w:rPr>
        <w:t>Heritage at Sea</w:t>
      </w:r>
      <w:r w:rsidRPr="000448FB">
        <w:rPr>
          <w:rFonts w:eastAsia="Calibri"/>
          <w:szCs w:val="22"/>
          <w:lang w:val="en-US" w:eastAsia="en-US"/>
        </w:rPr>
        <w:t xml:space="preserve"> in its White Paper </w:t>
      </w:r>
      <w:r w:rsidRPr="000448FB">
        <w:rPr>
          <w:rFonts w:eastAsia="Calibri"/>
          <w:i/>
          <w:szCs w:val="22"/>
          <w:lang w:val="en-US" w:eastAsia="en-US"/>
        </w:rPr>
        <w:t>This Common Inheritance</w:t>
      </w:r>
      <w:r w:rsidRPr="000448FB">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aim of the JNAPC has been to raise the profile of nautical archaeology in both Government and diving circles and to present a consensus upon which government and other</w:t>
      </w:r>
      <w:r w:rsidRPr="000448FB">
        <w:rPr>
          <w:rFonts w:eastAsia="Calibri"/>
          <w:szCs w:val="22"/>
          <w:lang w:eastAsia="en-US"/>
        </w:rPr>
        <w:t xml:space="preserve"> organisations</w:t>
      </w:r>
      <w:r w:rsidRPr="000448FB">
        <w:rPr>
          <w:rFonts w:eastAsia="Calibri"/>
          <w:szCs w:val="22"/>
          <w:lang w:val="en-US" w:eastAsia="en-US"/>
        </w:rPr>
        <w:t xml:space="preserve"> can act.</w:t>
      </w:r>
      <w:r w:rsidRPr="000448FB">
        <w:rPr>
          <w:rFonts w:eastAsia="Calibri"/>
          <w:i/>
          <w:szCs w:val="22"/>
          <w:lang w:val="en-US" w:eastAsia="en-US"/>
        </w:rPr>
        <w:t xml:space="preserve"> </w:t>
      </w:r>
      <w:r w:rsidRPr="000448FB">
        <w:rPr>
          <w:rFonts w:eastAsia="Calibri"/>
          <w:i/>
          <w:szCs w:val="22"/>
          <w:lang w:eastAsia="en-US"/>
        </w:rPr>
        <w:t>Heritage at Sea</w:t>
      </w:r>
      <w:r w:rsidRPr="000448FB">
        <w:rPr>
          <w:rFonts w:eastAsia="Calibri"/>
          <w:szCs w:val="22"/>
          <w:lang w:eastAsia="en-US"/>
        </w:rPr>
        <w:t xml:space="preserve"> was followed up by </w:t>
      </w:r>
      <w:r w:rsidRPr="000448FB">
        <w:rPr>
          <w:rFonts w:eastAsia="Calibri"/>
          <w:i/>
          <w:szCs w:val="22"/>
          <w:lang w:eastAsia="en-US"/>
        </w:rPr>
        <w:t>Still at Sea</w:t>
      </w:r>
      <w:r w:rsidRPr="000448FB">
        <w:rPr>
          <w:rFonts w:eastAsia="Calibri"/>
          <w:szCs w:val="22"/>
          <w:lang w:eastAsia="en-US"/>
        </w:rPr>
        <w:t xml:space="preserve"> in May 1993 which drew attention to outstanding issues, the </w:t>
      </w:r>
      <w:r w:rsidRPr="000448FB">
        <w:rPr>
          <w:rFonts w:eastAsia="Calibri"/>
          <w:i/>
          <w:szCs w:val="22"/>
          <w:lang w:eastAsia="en-US"/>
        </w:rPr>
        <w:t>Code of Practice for Seabed Developers</w:t>
      </w:r>
      <w:r w:rsidRPr="000448FB">
        <w:rPr>
          <w:rFonts w:eastAsia="Calibri"/>
          <w:szCs w:val="22"/>
          <w:lang w:eastAsia="en-US"/>
        </w:rPr>
        <w:t xml:space="preserve"> was launched in January 1995, and an archaeological leaflet for divers, </w:t>
      </w:r>
      <w:r w:rsidRPr="000448FB">
        <w:rPr>
          <w:rFonts w:eastAsia="Calibri"/>
          <w:i/>
          <w:szCs w:val="22"/>
          <w:lang w:eastAsia="en-US"/>
        </w:rPr>
        <w:t>Underwater Finds - What to Do</w:t>
      </w:r>
      <w:r w:rsidRPr="000448FB">
        <w:rPr>
          <w:rFonts w:eastAsia="Calibri"/>
          <w:szCs w:val="22"/>
          <w:lang w:eastAsia="en-US"/>
        </w:rPr>
        <w:t xml:space="preserve">, was published in January 1998 in collaboration with the Sports Diving Associations BSAC, PADI and SAA. </w:t>
      </w:r>
      <w:r w:rsidRPr="000448FB">
        <w:rPr>
          <w:rFonts w:eastAsia="Calibri"/>
          <w:szCs w:val="22"/>
          <w:lang w:val="en-US" w:eastAsia="en-US"/>
        </w:rPr>
        <w:t xml:space="preserve">The more detailed explanatory brochure, </w:t>
      </w:r>
      <w:r w:rsidRPr="000448FB">
        <w:rPr>
          <w:rFonts w:eastAsia="Calibri"/>
          <w:i/>
          <w:szCs w:val="22"/>
          <w:lang w:val="en-US" w:eastAsia="en-US"/>
        </w:rPr>
        <w:t>Underwater Finds - Guidance for Divers,</w:t>
      </w:r>
      <w:r w:rsidRPr="000448FB">
        <w:rPr>
          <w:rFonts w:eastAsia="Calibri"/>
          <w:szCs w:val="22"/>
          <w:lang w:val="en-US" w:eastAsia="en-US"/>
        </w:rPr>
        <w:t xml:space="preserve"> followed in May 2000 and </w:t>
      </w:r>
      <w:r w:rsidRPr="000448FB">
        <w:rPr>
          <w:rFonts w:eastAsia="Calibri"/>
          <w:i/>
          <w:szCs w:val="22"/>
          <w:lang w:val="en-US" w:eastAsia="en-US"/>
        </w:rPr>
        <w:t xml:space="preserve">Wreck Diving – Don’t Get Scuttled, </w:t>
      </w:r>
      <w:r w:rsidRPr="000448FB">
        <w:rPr>
          <w:rFonts w:eastAsia="Calibri"/>
          <w:szCs w:val="22"/>
          <w:lang w:val="en-US" w:eastAsia="en-US"/>
        </w:rPr>
        <w:t>an educational brochure for divers, was published in October 2000.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0448FB">
        <w:rPr>
          <w:rFonts w:eastAsia="Calibri"/>
          <w:i/>
          <w:szCs w:val="22"/>
          <w:lang w:val="en-US" w:eastAsia="en-US"/>
        </w:rPr>
        <w:t>Heritage Law at Sea</w:t>
      </w:r>
      <w:r w:rsidRPr="000448FB">
        <w:rPr>
          <w:rFonts w:eastAsia="Calibri"/>
          <w:szCs w:val="22"/>
          <w:lang w:val="en-US" w:eastAsia="en-US"/>
        </w:rPr>
        <w:t xml:space="preserve"> in June 2000 and </w:t>
      </w:r>
      <w:r w:rsidRPr="000448FB">
        <w:rPr>
          <w:rFonts w:eastAsia="Calibri"/>
          <w:i/>
          <w:szCs w:val="22"/>
          <w:lang w:val="en-US" w:eastAsia="en-US"/>
        </w:rPr>
        <w:t xml:space="preserve">An Interim Report on The Valletta Convention &amp; Heritage Law at Sea </w:t>
      </w:r>
      <w:r w:rsidRPr="000448FB">
        <w:rPr>
          <w:rFonts w:eastAsia="Calibri"/>
          <w:szCs w:val="22"/>
          <w:lang w:val="en-US" w:eastAsia="en-US"/>
        </w:rPr>
        <w:t xml:space="preserve">in 2003. The latter made detailed recommendations for legal and administrative changes to improve protection of the UK’s underwater cultural heritage. </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played a major role in English Heritage’s (now Historic England) review of marine archaeological legislation and in DCMS’s consultation exercise </w:t>
      </w:r>
      <w:r w:rsidRPr="000448FB">
        <w:rPr>
          <w:rFonts w:eastAsia="Calibri"/>
          <w:i/>
          <w:szCs w:val="22"/>
          <w:lang w:val="en-US" w:eastAsia="en-US"/>
        </w:rPr>
        <w:t>Protecting our Marine Historic Environment: Making the System Work Better</w:t>
      </w:r>
      <w:r w:rsidRPr="000448FB">
        <w:rPr>
          <w:rFonts w:eastAsia="Calibri"/>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0448FB">
        <w:rPr>
          <w:rFonts w:eastAsia="Calibri"/>
          <w:i/>
          <w:szCs w:val="22"/>
          <w:lang w:val="en-US" w:eastAsia="en-US"/>
        </w:rPr>
        <w:t>Burlington House Declaration</w:t>
      </w:r>
      <w:r w:rsidRPr="000448FB">
        <w:rPr>
          <w:rFonts w:eastAsia="Calibri"/>
          <w:szCs w:val="22"/>
          <w:lang w:val="en-US" w:eastAsia="en-US"/>
        </w:rPr>
        <w:t xml:space="preserve">, which was presented to Government in 2006 </w:t>
      </w:r>
      <w:r w:rsidRPr="000448FB">
        <w:rPr>
          <w:rFonts w:eastAsia="Calibri"/>
          <w:szCs w:val="22"/>
          <w:lang w:val="en-US" w:eastAsia="en-US"/>
        </w:rPr>
        <w:lastRenderedPageBreak/>
        <w:t>and the Seminar on the Protection of Underwater Cultural Heritage in International Waters Adjacent to the UK in November 2010.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In 2013 the JNAPC was officially accredited as an NGO to the Scientific and Technical Advisory Board and to the Meeting of States Parties of the 2001 UNESCO Convention.</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0448FB" w:rsidRPr="000448FB" w:rsidRDefault="000448FB" w:rsidP="000448FB">
      <w:pPr>
        <w:jc w:val="both"/>
        <w:rPr>
          <w:rFonts w:eastAsia="Calibri"/>
          <w:szCs w:val="22"/>
          <w:lang w:val="en-US" w:eastAsia="en-US"/>
        </w:rPr>
      </w:pPr>
    </w:p>
    <w:p w:rsidR="000448FB" w:rsidRPr="000448FB" w:rsidRDefault="000148E2" w:rsidP="000448FB">
      <w:pPr>
        <w:jc w:val="both"/>
        <w:rPr>
          <w:rFonts w:eastAsia="Calibri"/>
          <w:szCs w:val="22"/>
          <w:lang w:val="en-US" w:eastAsia="en-US"/>
        </w:rPr>
      </w:pPr>
      <w:hyperlink r:id="rId13" w:history="1">
        <w:r w:rsidR="000448FB" w:rsidRPr="000448FB">
          <w:rPr>
            <w:rFonts w:eastAsia="Calibri"/>
            <w:color w:val="0000FF"/>
            <w:szCs w:val="22"/>
            <w:u w:val="single"/>
            <w:lang w:val="en-US" w:eastAsia="en-US"/>
          </w:rPr>
          <w:t>www.jnapc.org.uk</w:t>
        </w:r>
      </w:hyperlink>
      <w:r w:rsidR="000448FB" w:rsidRPr="000448FB">
        <w:rPr>
          <w:rFonts w:eastAsia="Calibri"/>
          <w:szCs w:val="22"/>
          <w:lang w:val="en-US" w:eastAsia="en-US"/>
        </w:rPr>
        <w:t xml:space="preserve"> </w:t>
      </w:r>
    </w:p>
    <w:p w:rsidR="00503ABC" w:rsidRPr="00503ABC" w:rsidRDefault="000448FB" w:rsidP="00503ABC">
      <w:pPr>
        <w:jc w:val="both"/>
        <w:outlineLvl w:val="0"/>
        <w:rPr>
          <w:rFonts w:eastAsia="Calibri"/>
          <w:szCs w:val="22"/>
          <w:lang w:val="en-US" w:eastAsia="en-US"/>
        </w:rPr>
      </w:pPr>
      <w:r w:rsidRPr="000448FB">
        <w:rPr>
          <w:rFonts w:eastAsia="Times New Roman"/>
          <w:sz w:val="20"/>
          <w:szCs w:val="20"/>
        </w:rPr>
        <w:br w:type="page"/>
      </w:r>
      <w:r w:rsidR="00503ABC" w:rsidRPr="00503ABC">
        <w:rPr>
          <w:rFonts w:eastAsia="Calibri"/>
          <w:b/>
          <w:szCs w:val="22"/>
          <w:lang w:val="en-US" w:eastAsia="en-US"/>
        </w:rPr>
        <w:lastRenderedPageBreak/>
        <w:t>Joint Nautical Archaeology Policy Committee</w:t>
      </w:r>
      <w:r w:rsidR="00503ABC" w:rsidRPr="00503ABC">
        <w:rPr>
          <w:rFonts w:eastAsia="Calibri"/>
          <w:szCs w:val="22"/>
          <w:lang w:val="en-US" w:eastAsia="en-US"/>
        </w:rPr>
        <w:t xml:space="preserve"> </w:t>
      </w:r>
    </w:p>
    <w:p w:rsidR="00503ABC" w:rsidRPr="00503ABC" w:rsidRDefault="00503ABC" w:rsidP="00503ABC">
      <w:pPr>
        <w:jc w:val="both"/>
        <w:rPr>
          <w:rFonts w:eastAsia="Calibri"/>
          <w:b/>
          <w:szCs w:val="22"/>
          <w:lang w:val="en-US" w:eastAsia="en-US"/>
        </w:rPr>
      </w:pPr>
    </w:p>
    <w:p w:rsidR="00503ABC" w:rsidRPr="00503ABC" w:rsidRDefault="00503ABC" w:rsidP="00503ABC">
      <w:pPr>
        <w:jc w:val="both"/>
        <w:rPr>
          <w:rFonts w:eastAsia="Calibri"/>
          <w:szCs w:val="22"/>
          <w:lang w:val="en-US" w:eastAsia="en-US"/>
        </w:rPr>
      </w:pPr>
      <w:r w:rsidRPr="00503ABC">
        <w:rPr>
          <w:rFonts w:eastAsia="Calibri"/>
          <w:b/>
          <w:szCs w:val="22"/>
          <w:lang w:val="en-US" w:eastAsia="en-US"/>
        </w:rPr>
        <w:t>Chairman</w:t>
      </w:r>
      <w:r w:rsidRPr="00503ABC">
        <w:rPr>
          <w:rFonts w:eastAsia="Calibri"/>
          <w:szCs w:val="22"/>
          <w:lang w:val="en-US" w:eastAsia="en-US"/>
        </w:rPr>
        <w:t xml:space="preserve">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 xml:space="preserve">Robert Yorke </w:t>
      </w:r>
    </w:p>
    <w:p w:rsidR="00503ABC" w:rsidRPr="00503ABC" w:rsidRDefault="00503ABC" w:rsidP="00503ABC">
      <w:pPr>
        <w:jc w:val="both"/>
        <w:rPr>
          <w:rFonts w:eastAsia="Calibri"/>
          <w:szCs w:val="22"/>
          <w:lang w:val="en-US" w:eastAsia="en-US"/>
        </w:rPr>
      </w:pPr>
      <w:r w:rsidRPr="00503ABC">
        <w:rPr>
          <w:rFonts w:eastAsia="Calibri"/>
          <w:b/>
          <w:szCs w:val="22"/>
          <w:lang w:val="en-US" w:eastAsia="en-US"/>
        </w:rPr>
        <w:t>Secretariat</w:t>
      </w:r>
      <w:r w:rsidRPr="00503ABC">
        <w:rPr>
          <w:rFonts w:eastAsia="Calibri"/>
          <w:szCs w:val="22"/>
          <w:lang w:val="en-US" w:eastAsia="en-US"/>
        </w:rPr>
        <w:t xml:space="preserve"> - Nautical Archaeology Society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Mark Beattie-Edwards</w:t>
      </w:r>
    </w:p>
    <w:p w:rsidR="00503ABC" w:rsidRPr="00503ABC" w:rsidRDefault="00503ABC" w:rsidP="00503ABC">
      <w:pPr>
        <w:jc w:val="both"/>
        <w:rPr>
          <w:rFonts w:eastAsia="Calibri"/>
          <w:szCs w:val="22"/>
          <w:lang w:val="en-US" w:eastAsia="en-US"/>
        </w:rPr>
      </w:pPr>
    </w:p>
    <w:p w:rsidR="00503ABC" w:rsidRPr="00503ABC" w:rsidRDefault="00503ABC" w:rsidP="00503ABC">
      <w:pPr>
        <w:keepNext/>
        <w:jc w:val="both"/>
        <w:outlineLvl w:val="0"/>
        <w:rPr>
          <w:rFonts w:eastAsia="Times New Roman"/>
          <w:b/>
          <w:lang w:eastAsia="en-US"/>
        </w:rPr>
      </w:pPr>
      <w:r w:rsidRPr="00503ABC">
        <w:rPr>
          <w:rFonts w:eastAsia="Times New Roman"/>
          <w:b/>
          <w:lang w:eastAsia="en-US"/>
        </w:rPr>
        <w:t>Member Organisations</w:t>
      </w:r>
    </w:p>
    <w:p w:rsidR="00503ABC" w:rsidRPr="00503ABC" w:rsidRDefault="00503ABC" w:rsidP="00503ABC">
      <w:pPr>
        <w:keepNext/>
        <w:autoSpaceDN w:val="0"/>
        <w:jc w:val="both"/>
        <w:outlineLvl w:val="3"/>
        <w:rPr>
          <w:rFonts w:eastAsia="Calibri"/>
          <w:szCs w:val="22"/>
          <w:lang w:val="en-US" w:eastAsia="en-US"/>
        </w:rPr>
      </w:pPr>
      <w:r w:rsidRPr="00503ABC">
        <w:rPr>
          <w:rFonts w:eastAsia="Calibri"/>
          <w:szCs w:val="22"/>
          <w:lang w:val="en-US" w:eastAsia="en-US"/>
        </w:rPr>
        <w:t>Association of Local Government Archaeological Officers</w:t>
      </w:r>
      <w:r w:rsidRPr="00503ABC">
        <w:rPr>
          <w:rFonts w:eastAsia="Calibri"/>
          <w:szCs w:val="22"/>
          <w:lang w:val="en-US" w:eastAsia="en-US"/>
        </w:rPr>
        <w:tab/>
      </w:r>
      <w:r w:rsidRPr="00503ABC">
        <w:rPr>
          <w:rFonts w:eastAsia="Calibri"/>
          <w:szCs w:val="22"/>
          <w:lang w:val="en-US" w:eastAsia="en-US"/>
        </w:rPr>
        <w:tab/>
        <w:t>Rebecca Loader</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 xml:space="preserve">British Sub Aqua Club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Jane Maddocks</w:t>
      </w:r>
    </w:p>
    <w:p w:rsidR="00503ABC" w:rsidRPr="00503ABC" w:rsidRDefault="00503ABC" w:rsidP="00503ABC">
      <w:pPr>
        <w:jc w:val="both"/>
        <w:rPr>
          <w:rFonts w:eastAsia="Times New Roman"/>
          <w:iCs/>
          <w:lang w:eastAsia="en-US"/>
        </w:rPr>
      </w:pPr>
      <w:r w:rsidRPr="00503ABC">
        <w:rPr>
          <w:rFonts w:eastAsia="Calibri"/>
          <w:szCs w:val="22"/>
          <w:lang w:val="en-US" w:eastAsia="en-US"/>
        </w:rPr>
        <w:t>Chartered Institute for Archaeologists</w:t>
      </w:r>
      <w:r w:rsidRPr="00503ABC">
        <w:rPr>
          <w:rFonts w:ascii="Calibri Light" w:eastAsia="Times New Roman" w:hAnsi="Calibri Light" w:cstheme="minorBidi"/>
          <w:i/>
          <w:iCs/>
          <w:color w:val="1F497D"/>
          <w:sz w:val="22"/>
          <w:szCs w:val="22"/>
          <w:lang w:eastAsia="en-US"/>
        </w:rPr>
        <w:t xml:space="preserve"> </w:t>
      </w:r>
      <w:r w:rsidRPr="00503ABC">
        <w:rPr>
          <w:rFonts w:eastAsia="Times New Roman"/>
          <w:iCs/>
          <w:lang w:eastAsia="en-US"/>
        </w:rPr>
        <w:t xml:space="preserve">(including CIfA </w:t>
      </w:r>
    </w:p>
    <w:p w:rsidR="00503ABC" w:rsidRPr="00503ABC" w:rsidRDefault="00503ABC" w:rsidP="00503ABC">
      <w:pPr>
        <w:jc w:val="both"/>
        <w:rPr>
          <w:rFonts w:eastAsia="Calibri"/>
          <w:szCs w:val="22"/>
          <w:lang w:val="en-US" w:eastAsia="en-US"/>
        </w:rPr>
      </w:pPr>
      <w:r w:rsidRPr="00503ABC">
        <w:rPr>
          <w:rFonts w:eastAsia="Times New Roman"/>
          <w:iCs/>
          <w:lang w:eastAsia="en-US"/>
        </w:rPr>
        <w:t>Marine Archaeology Special Interest Group</w:t>
      </w:r>
      <w:r w:rsidRPr="00503ABC">
        <w:rPr>
          <w:rFonts w:eastAsia="Times New Roman"/>
          <w:iCs/>
          <w:lang w:eastAsia="en-US"/>
        </w:rPr>
        <w:tab/>
        <w:t>)</w:t>
      </w:r>
      <w:r w:rsidRPr="00503ABC">
        <w:rPr>
          <w:rFonts w:eastAsia="Times New Roman"/>
          <w:iCs/>
          <w:lang w:eastAsia="en-US"/>
        </w:rPr>
        <w:tab/>
      </w:r>
      <w:r w:rsidRPr="00503ABC">
        <w:rPr>
          <w:rFonts w:eastAsia="Calibri"/>
          <w:szCs w:val="22"/>
          <w:lang w:val="en-US" w:eastAsia="en-US"/>
        </w:rPr>
        <w:tab/>
      </w:r>
      <w:r w:rsidRPr="00503ABC">
        <w:rPr>
          <w:rFonts w:eastAsia="Calibri"/>
          <w:szCs w:val="22"/>
          <w:lang w:val="en-US" w:eastAsia="en-US"/>
        </w:rPr>
        <w:tab/>
        <w:t>Rob Lennox/Michael Walsh</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Cotswold Archaeology</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00336731">
        <w:rPr>
          <w:rFonts w:eastAsia="Calibri"/>
          <w:szCs w:val="22"/>
          <w:lang w:val="en-US" w:eastAsia="en-US"/>
        </w:rPr>
        <w:t>TBA</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 xml:space="preserve">Council for British Archaeology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Mike Heyworth</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Maritime Archaeology Sea Trust (MAST)</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Jessica Berry</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Maritime Archaeology Trust</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Garry Momber</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Mary Rose Trust</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Christopher Dobbs</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National Maritime Museum</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Andrew Choong Han Lin</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National Museum of the Royal Navy</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Dominic Tweddle</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 xml:space="preserve">National Museums &amp; Galleries of Wales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Mark Redknap</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 xml:space="preserve">Nautical Archaeology Society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Mark Beattie-Edwards</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Professional Association of Diving Instructors</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Suzanne Smith</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RESCUE</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Stephen Appleby</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Sea Change Heritage Consultants</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John Gribble</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Shipwreck Museum, Hastings</w:t>
      </w:r>
      <w:r w:rsidRPr="00503ABC">
        <w:rPr>
          <w:rFonts w:eastAsia="Calibri"/>
          <w:szCs w:val="22"/>
          <w:lang w:val="en-US" w:eastAsia="en-US"/>
        </w:rPr>
        <w:tab/>
        <w:t xml:space="preserve">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Peter Marsden</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 xml:space="preserve">Society for Nautical Research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Richard Bateman</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 xml:space="preserve">Sub Aqua Association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Stuart Bryan</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The Honourable Company of Master Mariners</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TBA</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United Kingdom Maritime Collections Strategy &amp; ICOMOS</w:t>
      </w:r>
      <w:r w:rsidRPr="00503ABC">
        <w:rPr>
          <w:rFonts w:eastAsia="Calibri"/>
          <w:szCs w:val="22"/>
          <w:lang w:val="en-US" w:eastAsia="en-US"/>
        </w:rPr>
        <w:tab/>
        <w:t>Christopher Dobbs</w:t>
      </w:r>
    </w:p>
    <w:p w:rsidR="00503ABC" w:rsidRPr="00503ABC" w:rsidRDefault="00503ABC" w:rsidP="00503ABC">
      <w:pPr>
        <w:keepNext/>
        <w:overflowPunct w:val="0"/>
        <w:autoSpaceDE w:val="0"/>
        <w:autoSpaceDN w:val="0"/>
        <w:adjustRightInd w:val="0"/>
        <w:jc w:val="both"/>
        <w:outlineLvl w:val="3"/>
        <w:rPr>
          <w:rFonts w:eastAsia="Times New Roman"/>
          <w:szCs w:val="20"/>
        </w:rPr>
      </w:pPr>
      <w:r w:rsidRPr="00503ABC">
        <w:rPr>
          <w:rFonts w:eastAsia="Times New Roman"/>
          <w:szCs w:val="20"/>
        </w:rPr>
        <w:t xml:space="preserve">Wessex Archaeology </w:t>
      </w:r>
      <w:r w:rsidRPr="00503ABC">
        <w:rPr>
          <w:rFonts w:eastAsia="Times New Roman"/>
          <w:szCs w:val="20"/>
        </w:rPr>
        <w:tab/>
      </w:r>
      <w:r w:rsidRPr="00503ABC">
        <w:rPr>
          <w:rFonts w:eastAsia="Times New Roman"/>
          <w:szCs w:val="20"/>
        </w:rPr>
        <w:tab/>
      </w:r>
      <w:r w:rsidRPr="00503ABC">
        <w:rPr>
          <w:rFonts w:eastAsia="Times New Roman"/>
          <w:szCs w:val="20"/>
        </w:rPr>
        <w:tab/>
      </w:r>
      <w:r w:rsidRPr="00503ABC">
        <w:rPr>
          <w:rFonts w:eastAsia="Times New Roman"/>
          <w:szCs w:val="20"/>
        </w:rPr>
        <w:tab/>
      </w:r>
      <w:r w:rsidRPr="00503ABC">
        <w:rPr>
          <w:rFonts w:eastAsia="Times New Roman"/>
          <w:szCs w:val="20"/>
        </w:rPr>
        <w:tab/>
      </w:r>
      <w:r w:rsidRPr="00503ABC">
        <w:rPr>
          <w:rFonts w:eastAsia="Times New Roman"/>
          <w:szCs w:val="20"/>
        </w:rPr>
        <w:tab/>
      </w:r>
      <w:r w:rsidRPr="00503ABC">
        <w:rPr>
          <w:rFonts w:eastAsia="Times New Roman"/>
          <w:szCs w:val="20"/>
        </w:rPr>
        <w:tab/>
        <w:t>Euan McNeill/</w:t>
      </w:r>
      <w:r w:rsidRPr="00503ABC">
        <w:rPr>
          <w:rFonts w:eastAsia="Calibri"/>
          <w:szCs w:val="22"/>
          <w:lang w:val="en-US" w:eastAsia="en-US"/>
        </w:rPr>
        <w:t>Toby Gane</w:t>
      </w:r>
    </w:p>
    <w:p w:rsidR="00503ABC" w:rsidRPr="00503ABC" w:rsidRDefault="00503ABC" w:rsidP="00503ABC">
      <w:pPr>
        <w:tabs>
          <w:tab w:val="left" w:pos="720"/>
          <w:tab w:val="center" w:pos="4680"/>
          <w:tab w:val="right" w:pos="9360"/>
        </w:tabs>
        <w:jc w:val="both"/>
        <w:rPr>
          <w:rFonts w:eastAsia="Calibri"/>
          <w:szCs w:val="22"/>
          <w:lang w:val="en-US" w:eastAsia="en-US"/>
        </w:rPr>
      </w:pPr>
    </w:p>
    <w:p w:rsidR="00503ABC" w:rsidRPr="00503ABC" w:rsidRDefault="00503ABC" w:rsidP="00503ABC">
      <w:pPr>
        <w:keepNext/>
        <w:jc w:val="both"/>
        <w:outlineLvl w:val="0"/>
        <w:rPr>
          <w:rFonts w:eastAsia="Times New Roman"/>
          <w:b/>
          <w:bCs/>
          <w:lang w:eastAsia="en-US"/>
        </w:rPr>
      </w:pPr>
      <w:r w:rsidRPr="00503ABC">
        <w:rPr>
          <w:rFonts w:eastAsia="Times New Roman"/>
          <w:b/>
          <w:lang w:eastAsia="en-US"/>
        </w:rPr>
        <w:t>Individual members</w:t>
      </w:r>
      <w:r w:rsidRPr="00503ABC">
        <w:rPr>
          <w:rFonts w:eastAsia="Times New Roman"/>
          <w:b/>
          <w:bCs/>
          <w:lang w:eastAsia="en-US"/>
        </w:rPr>
        <w:tab/>
      </w:r>
      <w:r w:rsidRPr="00503ABC">
        <w:rPr>
          <w:rFonts w:eastAsia="Times New Roman"/>
          <w:b/>
          <w:bCs/>
          <w:lang w:eastAsia="en-US"/>
        </w:rPr>
        <w:tab/>
      </w:r>
      <w:r w:rsidRPr="00503ABC">
        <w:rPr>
          <w:rFonts w:eastAsia="Times New Roman"/>
          <w:b/>
          <w:bCs/>
          <w:lang w:eastAsia="en-US"/>
        </w:rPr>
        <w:tab/>
      </w:r>
      <w:r w:rsidRPr="00503ABC">
        <w:rPr>
          <w:rFonts w:eastAsia="Times New Roman"/>
          <w:b/>
          <w:bCs/>
          <w:lang w:eastAsia="en-US"/>
        </w:rPr>
        <w:tab/>
      </w:r>
      <w:r w:rsidRPr="00503ABC">
        <w:rPr>
          <w:rFonts w:eastAsia="Times New Roman"/>
          <w:b/>
          <w:bCs/>
          <w:lang w:eastAsia="en-US"/>
        </w:rPr>
        <w:tab/>
      </w:r>
      <w:r w:rsidRPr="00503ABC">
        <w:rPr>
          <w:rFonts w:eastAsia="Times New Roman"/>
          <w:b/>
          <w:bCs/>
          <w:lang w:eastAsia="en-US"/>
        </w:rPr>
        <w:tab/>
      </w:r>
      <w:r w:rsidRPr="00503ABC">
        <w:rPr>
          <w:rFonts w:eastAsia="Times New Roman"/>
          <w:b/>
          <w:bCs/>
          <w:lang w:eastAsia="en-US"/>
        </w:rPr>
        <w:tab/>
        <w:t>Affiliation</w:t>
      </w:r>
    </w:p>
    <w:p w:rsidR="00503ABC" w:rsidRPr="00503ABC" w:rsidRDefault="00503ABC" w:rsidP="00503ABC">
      <w:pPr>
        <w:ind w:left="2160" w:hanging="2160"/>
        <w:jc w:val="both"/>
        <w:rPr>
          <w:rFonts w:eastAsia="Calibri"/>
          <w:szCs w:val="22"/>
          <w:lang w:val="en-US" w:eastAsia="en-US"/>
        </w:rPr>
      </w:pPr>
      <w:r w:rsidRPr="00503ABC">
        <w:rPr>
          <w:rFonts w:eastAsia="Calibri"/>
          <w:szCs w:val="22"/>
          <w:lang w:val="en-US" w:eastAsia="en-US"/>
        </w:rPr>
        <w:t>Antony Firth</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eastAsia="en-US"/>
        </w:rPr>
        <w:t>Fjordr Limited</w:t>
      </w:r>
    </w:p>
    <w:p w:rsidR="00503ABC" w:rsidRPr="00503ABC" w:rsidRDefault="00503ABC" w:rsidP="00503ABC">
      <w:pPr>
        <w:ind w:left="2160" w:hanging="2160"/>
        <w:jc w:val="both"/>
        <w:rPr>
          <w:rFonts w:eastAsia="Calibri"/>
          <w:szCs w:val="22"/>
          <w:lang w:val="en-US" w:eastAsia="en-US"/>
        </w:rPr>
      </w:pPr>
      <w:r w:rsidRPr="00503ABC">
        <w:rPr>
          <w:rFonts w:eastAsia="Calibri"/>
          <w:szCs w:val="22"/>
          <w:lang w:val="en-US" w:eastAsia="en-US"/>
        </w:rPr>
        <w:t>David Parham</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Bournemouth University</w:t>
      </w:r>
    </w:p>
    <w:p w:rsidR="00503ABC" w:rsidRPr="00503ABC" w:rsidRDefault="00503ABC" w:rsidP="00503ABC">
      <w:pPr>
        <w:ind w:left="2160" w:hanging="2160"/>
        <w:jc w:val="both"/>
        <w:rPr>
          <w:rFonts w:eastAsia="Calibri"/>
          <w:szCs w:val="22"/>
          <w:lang w:val="en-US" w:eastAsia="en-US"/>
        </w:rPr>
      </w:pPr>
      <w:r w:rsidRPr="00503ABC">
        <w:rPr>
          <w:rFonts w:eastAsia="Calibri"/>
          <w:szCs w:val="22"/>
          <w:lang w:val="en-US" w:eastAsia="en-US"/>
        </w:rPr>
        <w:t xml:space="preserve">Michael Williams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Plymouth University</w:t>
      </w:r>
    </w:p>
    <w:p w:rsidR="00503ABC" w:rsidRPr="00503ABC" w:rsidRDefault="00503ABC" w:rsidP="00503ABC">
      <w:pPr>
        <w:ind w:left="2160" w:hanging="2160"/>
        <w:jc w:val="both"/>
        <w:rPr>
          <w:rFonts w:eastAsia="Calibri"/>
          <w:szCs w:val="22"/>
          <w:lang w:val="en-US" w:eastAsia="en-US"/>
        </w:rPr>
      </w:pPr>
      <w:r w:rsidRPr="00503ABC">
        <w:rPr>
          <w:rFonts w:eastAsia="Calibri"/>
          <w:szCs w:val="22"/>
          <w:lang w:val="en-US" w:eastAsia="en-US"/>
        </w:rPr>
        <w:t>Josh Martin</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Exeter University</w:t>
      </w:r>
    </w:p>
    <w:p w:rsidR="00503ABC" w:rsidRPr="00503ABC" w:rsidRDefault="00503ABC" w:rsidP="00503ABC">
      <w:pPr>
        <w:keepNext/>
        <w:jc w:val="both"/>
        <w:outlineLvl w:val="0"/>
        <w:rPr>
          <w:rFonts w:eastAsia="Times New Roman"/>
          <w:b/>
          <w:bCs/>
          <w:lang w:eastAsia="en-US"/>
        </w:rPr>
      </w:pPr>
    </w:p>
    <w:p w:rsidR="00503ABC" w:rsidRPr="00503ABC" w:rsidRDefault="00503ABC" w:rsidP="00503ABC">
      <w:pPr>
        <w:keepNext/>
        <w:jc w:val="both"/>
        <w:outlineLvl w:val="0"/>
        <w:rPr>
          <w:rFonts w:eastAsia="Times New Roman"/>
          <w:b/>
          <w:lang w:eastAsia="en-US"/>
        </w:rPr>
      </w:pPr>
      <w:r w:rsidRPr="00503ABC">
        <w:rPr>
          <w:rFonts w:eastAsia="Times New Roman"/>
          <w:b/>
          <w:lang w:eastAsia="en-US"/>
        </w:rPr>
        <w:t>Observers</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 xml:space="preserve">Cadw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Polly Groom</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The Crown Estate</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Ed Salter</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Department for Communities (Northern Ireland), Historic</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Environment Division</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Rory McNeary</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Department for Digital, Culture, Media and Sport</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Gill Graham/James Venus</w:t>
      </w:r>
    </w:p>
    <w:p w:rsidR="00503ABC" w:rsidRPr="00503ABC" w:rsidRDefault="00503ABC" w:rsidP="00503ABC">
      <w:pPr>
        <w:rPr>
          <w:rFonts w:eastAsia="Calibri"/>
          <w:szCs w:val="22"/>
          <w:lang w:val="en-US" w:eastAsia="en-US"/>
        </w:rPr>
      </w:pPr>
      <w:r w:rsidRPr="00503ABC">
        <w:rPr>
          <w:rFonts w:eastAsia="Calibri"/>
          <w:szCs w:val="22"/>
          <w:lang w:val="en-US" w:eastAsia="en-US"/>
        </w:rPr>
        <w:t>Department for Transport</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John Davies</w:t>
      </w:r>
    </w:p>
    <w:p w:rsidR="00503ABC" w:rsidRPr="00503ABC" w:rsidRDefault="00503ABC" w:rsidP="00503ABC">
      <w:pPr>
        <w:rPr>
          <w:rFonts w:eastAsia="Calibri"/>
          <w:szCs w:val="22"/>
          <w:lang w:val="en-US" w:eastAsia="en-US"/>
        </w:rPr>
      </w:pPr>
      <w:r w:rsidRPr="00503ABC">
        <w:rPr>
          <w:rFonts w:eastAsia="Calibri"/>
          <w:szCs w:val="22"/>
          <w:lang w:val="en-US" w:eastAsia="en-US"/>
        </w:rPr>
        <w:t>Foreign and Commonwealth Office</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Lowri Griffiths/Colin Glen</w:t>
      </w:r>
    </w:p>
    <w:p w:rsidR="00503ABC" w:rsidRPr="00503ABC" w:rsidRDefault="00503ABC" w:rsidP="00503ABC">
      <w:pPr>
        <w:rPr>
          <w:rFonts w:eastAsia="Calibri"/>
          <w:szCs w:val="22"/>
          <w:lang w:val="en-US" w:eastAsia="en-US"/>
        </w:rPr>
      </w:pPr>
      <w:r w:rsidRPr="00503ABC">
        <w:rPr>
          <w:rFonts w:eastAsia="Calibri"/>
          <w:szCs w:val="22"/>
          <w:lang w:val="en-US" w:eastAsia="en-US"/>
        </w:rPr>
        <w:t xml:space="preserve">Historic England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Paul Jeffery/Mark Dunkley</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 xml:space="preserve">Historic Environment Scotland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Philip Robertson</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 xml:space="preserve">Maritime and Coastguard Agency, Receiver of Wreck </w:t>
      </w:r>
      <w:r w:rsidRPr="00503ABC">
        <w:rPr>
          <w:rFonts w:eastAsia="Calibri"/>
          <w:szCs w:val="22"/>
          <w:lang w:val="en-US" w:eastAsia="en-US"/>
        </w:rPr>
        <w:tab/>
      </w:r>
      <w:r w:rsidRPr="00503ABC">
        <w:rPr>
          <w:rFonts w:eastAsia="Calibri"/>
          <w:szCs w:val="22"/>
          <w:lang w:val="en-US" w:eastAsia="en-US"/>
        </w:rPr>
        <w:tab/>
        <w:t>Camilla Moore</w:t>
      </w:r>
    </w:p>
    <w:p w:rsidR="00503ABC" w:rsidRPr="00503ABC" w:rsidRDefault="00503ABC" w:rsidP="00503ABC">
      <w:pPr>
        <w:rPr>
          <w:rFonts w:eastAsia="Calibri"/>
          <w:szCs w:val="22"/>
          <w:lang w:val="en-US" w:eastAsia="en-US"/>
        </w:rPr>
      </w:pPr>
      <w:r w:rsidRPr="00503ABC">
        <w:rPr>
          <w:rFonts w:eastAsia="Calibri"/>
          <w:szCs w:val="22"/>
          <w:lang w:val="en-US" w:eastAsia="en-US"/>
        </w:rPr>
        <w:t>Ministry of Defence</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Louise Baverstock</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 xml:space="preserve">National Trust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Ian Barnes</w:t>
      </w:r>
    </w:p>
    <w:p w:rsidR="00503ABC" w:rsidRPr="00503ABC" w:rsidRDefault="00503ABC" w:rsidP="00503ABC">
      <w:pPr>
        <w:jc w:val="both"/>
        <w:rPr>
          <w:rFonts w:eastAsia="Calibri"/>
          <w:szCs w:val="22"/>
          <w:lang w:val="en-US" w:eastAsia="en-US"/>
        </w:rPr>
      </w:pPr>
      <w:r w:rsidRPr="00503ABC">
        <w:rPr>
          <w:rFonts w:eastAsia="Calibri"/>
          <w:szCs w:val="22"/>
          <w:lang w:val="en-US" w:eastAsia="en-US"/>
        </w:rPr>
        <w:t>Royal Commission on the Ancient and Historical Monuments</w:t>
      </w:r>
    </w:p>
    <w:p w:rsidR="00503ABC" w:rsidRPr="00503ABC" w:rsidRDefault="00503ABC" w:rsidP="00503ABC">
      <w:pPr>
        <w:jc w:val="both"/>
        <w:rPr>
          <w:rFonts w:eastAsia="Calibri"/>
          <w:szCs w:val="22"/>
          <w:lang w:val="en-US" w:eastAsia="en-US"/>
        </w:rPr>
      </w:pPr>
      <w:proofErr w:type="gramStart"/>
      <w:r w:rsidRPr="00503ABC">
        <w:rPr>
          <w:rFonts w:eastAsia="Calibri"/>
          <w:szCs w:val="22"/>
          <w:lang w:val="en-US" w:eastAsia="en-US"/>
        </w:rPr>
        <w:t>of</w:t>
      </w:r>
      <w:proofErr w:type="gramEnd"/>
      <w:r w:rsidRPr="00503ABC">
        <w:rPr>
          <w:rFonts w:eastAsia="Calibri"/>
          <w:szCs w:val="22"/>
          <w:lang w:val="en-US" w:eastAsia="en-US"/>
        </w:rPr>
        <w:t xml:space="preserve"> Wales </w:t>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r>
      <w:r w:rsidRPr="00503ABC">
        <w:rPr>
          <w:rFonts w:eastAsia="Calibri"/>
          <w:szCs w:val="22"/>
          <w:lang w:val="en-US" w:eastAsia="en-US"/>
        </w:rPr>
        <w:tab/>
        <w:t>Deanna Groom</w:t>
      </w:r>
    </w:p>
    <w:p w:rsidR="000448FB" w:rsidRPr="000448FB" w:rsidRDefault="000448FB" w:rsidP="000448FB">
      <w:pPr>
        <w:rPr>
          <w:rFonts w:eastAsia="Times New Roman"/>
          <w:sz w:val="20"/>
          <w:szCs w:val="20"/>
        </w:rPr>
      </w:pPr>
    </w:p>
    <w:sectPr w:rsidR="000448FB" w:rsidRPr="000448FB" w:rsidSect="00336731">
      <w:footerReference w:type="default" r:id="rId14"/>
      <w:pgSz w:w="11906" w:h="16838"/>
      <w:pgMar w:top="1276" w:right="851" w:bottom="193"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48E2" w:rsidRDefault="000148E2" w:rsidP="0032002D">
      <w:r>
        <w:separator/>
      </w:r>
    </w:p>
  </w:endnote>
  <w:endnote w:type="continuationSeparator" w:id="0">
    <w:p w:rsidR="000148E2" w:rsidRDefault="000148E2"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48E2" w:rsidRDefault="000148E2" w:rsidP="0032002D">
      <w:r>
        <w:separator/>
      </w:r>
    </w:p>
  </w:footnote>
  <w:footnote w:type="continuationSeparator" w:id="0">
    <w:p w:rsidR="000148E2" w:rsidRDefault="000148E2" w:rsidP="0032002D">
      <w:r>
        <w:continuationSeparator/>
      </w:r>
    </w:p>
  </w:footnote>
  <w:footnote w:id="1">
    <w:p w:rsidR="0036164A" w:rsidRDefault="0036164A" w:rsidP="0036164A">
      <w:pPr>
        <w:pStyle w:val="FootnoteText"/>
      </w:pPr>
      <w:r>
        <w:rPr>
          <w:rStyle w:val="FootnoteReference"/>
        </w:rPr>
        <w:footnoteRef/>
      </w:r>
      <w:r>
        <w:t xml:space="preserve"> </w:t>
      </w:r>
      <w:hyperlink r:id="rId1" w:history="1">
        <w:r w:rsidRPr="00B2461A">
          <w:rPr>
            <w:rStyle w:val="Hyperlink"/>
          </w:rPr>
          <w:t>https://assets.publishing.service.gov.uk/government/uploads/system/uploads/attachment_data/file/69322/pb3654-marine-policy-statement-110316.pdf</w:t>
        </w:r>
      </w:hyperlink>
      <w:r>
        <w:t xml:space="preserve"> </w:t>
      </w:r>
    </w:p>
  </w:footnote>
  <w:footnote w:id="2">
    <w:p w:rsidR="0036164A" w:rsidRPr="00ED737B" w:rsidRDefault="0036164A" w:rsidP="0036164A">
      <w:pPr>
        <w:pStyle w:val="FootnoteText"/>
      </w:pPr>
      <w:r>
        <w:rPr>
          <w:rStyle w:val="FootnoteReference"/>
        </w:rPr>
        <w:footnoteRef/>
      </w:r>
      <w:r w:rsidRPr="00ED737B">
        <w:t xml:space="preserve"> Salmon et al., 2015, </w:t>
      </w:r>
      <w:r w:rsidRPr="00ED737B">
        <w:rPr>
          <w:i/>
          <w:color w:val="555555"/>
          <w:spacing w:val="8"/>
          <w:shd w:val="clear" w:color="auto" w:fill="FFFFFF"/>
        </w:rPr>
        <w:t>Historic Environment Projects and Activities within Marine Conservation Zones</w:t>
      </w:r>
      <w:r w:rsidRPr="00ED737B">
        <w:rPr>
          <w:color w:val="555555"/>
          <w:spacing w:val="8"/>
          <w:shd w:val="clear" w:color="auto" w:fill="FFFFFF"/>
        </w:rPr>
        <w:t xml:space="preserve"> </w:t>
      </w:r>
      <w:hyperlink r:id="rId2" w:history="1">
        <w:r w:rsidRPr="00ED737B">
          <w:rPr>
            <w:rStyle w:val="Hyperlink"/>
          </w:rPr>
          <w:t>https://research.historicengland.org.uk/Report.aspx?i=15869</w:t>
        </w:r>
      </w:hyperlink>
      <w:r w:rsidRPr="00ED737B">
        <w:t xml:space="preserve"> </w:t>
      </w:r>
    </w:p>
  </w:footnote>
  <w:footnote w:id="3">
    <w:p w:rsidR="0036164A" w:rsidRDefault="0036164A" w:rsidP="0036164A">
      <w:pPr>
        <w:pStyle w:val="FootnoteText"/>
      </w:pPr>
      <w:r>
        <w:rPr>
          <w:rStyle w:val="FootnoteReference"/>
        </w:rPr>
        <w:footnoteRef/>
      </w:r>
      <w:r>
        <w:t xml:space="preserve"> See </w:t>
      </w:r>
      <w:hyperlink r:id="rId3" w:history="1">
        <w:r w:rsidRPr="00E61E8C">
          <w:rPr>
            <w:rStyle w:val="Hyperlink"/>
          </w:rPr>
          <w:t>https://www.historicenvironment.scot/advice-and-support/listing-scheduling-and-designations/marine-heritage/what-is-a-marine-protected-area/</w:t>
        </w:r>
      </w:hyperlink>
      <w:r>
        <w:t xml:space="preserve"> </w:t>
      </w:r>
    </w:p>
  </w:footnote>
  <w:footnote w:id="4">
    <w:p w:rsidR="0036164A" w:rsidRDefault="0036164A" w:rsidP="0036164A">
      <w:pPr>
        <w:pStyle w:val="FootnoteText"/>
      </w:pPr>
      <w:r>
        <w:rPr>
          <w:rStyle w:val="FootnoteReference"/>
        </w:rPr>
        <w:footnoteRef/>
      </w:r>
      <w:r>
        <w:t xml:space="preserve"> </w:t>
      </w:r>
      <w:hyperlink r:id="rId4" w:history="1">
        <w:r w:rsidRPr="00E61E8C">
          <w:rPr>
            <w:rStyle w:val="Hyperlink"/>
          </w:rPr>
          <w:t>https://historicengland.org.uk/listing/what-is-designation/protected-wreck-sites/</w:t>
        </w:r>
      </w:hyperlink>
      <w:r>
        <w:t xml:space="preserve"> </w:t>
      </w:r>
    </w:p>
  </w:footnote>
  <w:footnote w:id="5">
    <w:p w:rsidR="0036164A" w:rsidRDefault="0036164A" w:rsidP="0036164A">
      <w:pPr>
        <w:pStyle w:val="FootnoteText"/>
      </w:pPr>
      <w:r>
        <w:rPr>
          <w:rStyle w:val="FootnoteReference"/>
        </w:rPr>
        <w:footnoteRef/>
      </w:r>
      <w:r>
        <w:t xml:space="preserve"> </w:t>
      </w:r>
      <w:hyperlink r:id="rId5" w:history="1">
        <w:r w:rsidRPr="00E61E8C">
          <w:rPr>
            <w:rStyle w:val="Hyperlink"/>
          </w:rPr>
          <w:t>https://www.historicenvironment.scot/advice-and-support/listing-scheduling-and-designations/marine-heritage/</w:t>
        </w:r>
      </w:hyperlink>
      <w:r>
        <w:t xml:space="preserve"> </w:t>
      </w:r>
    </w:p>
  </w:footnote>
  <w:footnote w:id="6">
    <w:p w:rsidR="0036164A" w:rsidRDefault="0036164A" w:rsidP="0036164A">
      <w:pPr>
        <w:pStyle w:val="FootnoteText"/>
      </w:pPr>
      <w:r>
        <w:rPr>
          <w:rStyle w:val="FootnoteReference"/>
        </w:rPr>
        <w:footnoteRef/>
      </w:r>
      <w:r>
        <w:t xml:space="preserve"> </w:t>
      </w:r>
      <w:hyperlink r:id="rId6" w:history="1">
        <w:r w:rsidRPr="00E61E8C">
          <w:rPr>
            <w:rStyle w:val="Hyperlink"/>
          </w:rPr>
          <w:t>https://cadw.gov.wales/advice-support/placemaking/legislation-and-guidance/marine-historic-environment</w:t>
        </w:r>
      </w:hyperlink>
      <w:r>
        <w:t xml:space="preserve"> </w:t>
      </w:r>
    </w:p>
  </w:footnote>
  <w:footnote w:id="7">
    <w:p w:rsidR="0036164A" w:rsidRDefault="0036164A" w:rsidP="0036164A">
      <w:pPr>
        <w:pStyle w:val="FootnoteText"/>
      </w:pPr>
      <w:r>
        <w:rPr>
          <w:rStyle w:val="FootnoteReference"/>
        </w:rPr>
        <w:footnoteRef/>
      </w:r>
      <w:r>
        <w:t xml:space="preserve"> </w:t>
      </w:r>
      <w:hyperlink r:id="rId7" w:history="1">
        <w:r w:rsidRPr="00E61E8C">
          <w:rPr>
            <w:rStyle w:val="Hyperlink"/>
          </w:rPr>
          <w:t>https://www.daera-ni.gov.uk/articles/marine-historic-environment</w:t>
        </w:r>
      </w:hyperlink>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FE7349"/>
    <w:multiLevelType w:val="hybridMultilevel"/>
    <w:tmpl w:val="31EEF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92A2D9A"/>
    <w:multiLevelType w:val="multilevel"/>
    <w:tmpl w:val="43C2B764"/>
    <w:lvl w:ilvl="0">
      <w:start w:val="1"/>
      <w:numFmt w:val="bullet"/>
      <w:lvlText w:val=""/>
      <w:lvlJc w:val="left"/>
      <w:pPr>
        <w:tabs>
          <w:tab w:val="num" w:pos="2160"/>
        </w:tabs>
        <w:ind w:left="2160" w:hanging="360"/>
      </w:pPr>
      <w:rPr>
        <w:rFonts w:ascii="Symbol" w:hAnsi="Symbol" w:hint="default"/>
        <w:sz w:val="20"/>
      </w:rPr>
    </w:lvl>
    <w:lvl w:ilvl="1" w:tentative="1">
      <w:start w:val="1"/>
      <w:numFmt w:val="bullet"/>
      <w:lvlText w:val=""/>
      <w:lvlJc w:val="left"/>
      <w:pPr>
        <w:tabs>
          <w:tab w:val="num" w:pos="2880"/>
        </w:tabs>
        <w:ind w:left="2880" w:hanging="360"/>
      </w:pPr>
      <w:rPr>
        <w:rFonts w:ascii="Symbol" w:hAnsi="Symbol" w:hint="default"/>
        <w:sz w:val="20"/>
      </w:rPr>
    </w:lvl>
    <w:lvl w:ilvl="2" w:tentative="1">
      <w:start w:val="1"/>
      <w:numFmt w:val="bullet"/>
      <w:lvlText w:val=""/>
      <w:lvlJc w:val="left"/>
      <w:pPr>
        <w:tabs>
          <w:tab w:val="num" w:pos="3600"/>
        </w:tabs>
        <w:ind w:left="3600" w:hanging="360"/>
      </w:pPr>
      <w:rPr>
        <w:rFonts w:ascii="Symbol" w:hAnsi="Symbol" w:hint="default"/>
        <w:sz w:val="20"/>
      </w:rPr>
    </w:lvl>
    <w:lvl w:ilvl="3" w:tentative="1">
      <w:start w:val="1"/>
      <w:numFmt w:val="bullet"/>
      <w:lvlText w:val=""/>
      <w:lvlJc w:val="left"/>
      <w:pPr>
        <w:tabs>
          <w:tab w:val="num" w:pos="4320"/>
        </w:tabs>
        <w:ind w:left="4320" w:hanging="360"/>
      </w:pPr>
      <w:rPr>
        <w:rFonts w:ascii="Symbol" w:hAnsi="Symbol" w:hint="default"/>
        <w:sz w:val="20"/>
      </w:rPr>
    </w:lvl>
    <w:lvl w:ilvl="4" w:tentative="1">
      <w:start w:val="1"/>
      <w:numFmt w:val="bullet"/>
      <w:lvlText w:val=""/>
      <w:lvlJc w:val="left"/>
      <w:pPr>
        <w:tabs>
          <w:tab w:val="num" w:pos="5040"/>
        </w:tabs>
        <w:ind w:left="5040" w:hanging="360"/>
      </w:pPr>
      <w:rPr>
        <w:rFonts w:ascii="Symbol" w:hAnsi="Symbol" w:hint="default"/>
        <w:sz w:val="20"/>
      </w:rPr>
    </w:lvl>
    <w:lvl w:ilvl="5" w:tentative="1">
      <w:start w:val="1"/>
      <w:numFmt w:val="bullet"/>
      <w:lvlText w:val=""/>
      <w:lvlJc w:val="left"/>
      <w:pPr>
        <w:tabs>
          <w:tab w:val="num" w:pos="5760"/>
        </w:tabs>
        <w:ind w:left="5760" w:hanging="360"/>
      </w:pPr>
      <w:rPr>
        <w:rFonts w:ascii="Symbol" w:hAnsi="Symbol" w:hint="default"/>
        <w:sz w:val="20"/>
      </w:rPr>
    </w:lvl>
    <w:lvl w:ilvl="6" w:tentative="1">
      <w:start w:val="1"/>
      <w:numFmt w:val="bullet"/>
      <w:lvlText w:val=""/>
      <w:lvlJc w:val="left"/>
      <w:pPr>
        <w:tabs>
          <w:tab w:val="num" w:pos="6480"/>
        </w:tabs>
        <w:ind w:left="6480" w:hanging="360"/>
      </w:pPr>
      <w:rPr>
        <w:rFonts w:ascii="Symbol" w:hAnsi="Symbol" w:hint="default"/>
        <w:sz w:val="20"/>
      </w:rPr>
    </w:lvl>
    <w:lvl w:ilvl="7" w:tentative="1">
      <w:start w:val="1"/>
      <w:numFmt w:val="bullet"/>
      <w:lvlText w:val=""/>
      <w:lvlJc w:val="left"/>
      <w:pPr>
        <w:tabs>
          <w:tab w:val="num" w:pos="7200"/>
        </w:tabs>
        <w:ind w:left="7200" w:hanging="360"/>
      </w:pPr>
      <w:rPr>
        <w:rFonts w:ascii="Symbol" w:hAnsi="Symbol" w:hint="default"/>
        <w:sz w:val="20"/>
      </w:rPr>
    </w:lvl>
    <w:lvl w:ilvl="8" w:tentative="1">
      <w:start w:val="1"/>
      <w:numFmt w:val="bullet"/>
      <w:lvlText w:val=""/>
      <w:lvlJc w:val="left"/>
      <w:pPr>
        <w:tabs>
          <w:tab w:val="num" w:pos="7920"/>
        </w:tabs>
        <w:ind w:left="7920" w:hanging="360"/>
      </w:pPr>
      <w:rPr>
        <w:rFonts w:ascii="Symbol" w:hAnsi="Symbol"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00DE3"/>
    <w:rsid w:val="00013E50"/>
    <w:rsid w:val="000148E2"/>
    <w:rsid w:val="00040188"/>
    <w:rsid w:val="000448FB"/>
    <w:rsid w:val="00053240"/>
    <w:rsid w:val="000A1CEB"/>
    <w:rsid w:val="000C5802"/>
    <w:rsid w:val="000F0739"/>
    <w:rsid w:val="00166FDA"/>
    <w:rsid w:val="001730B8"/>
    <w:rsid w:val="00177019"/>
    <w:rsid w:val="00182791"/>
    <w:rsid w:val="00190D3A"/>
    <w:rsid w:val="001A6FFE"/>
    <w:rsid w:val="001A7925"/>
    <w:rsid w:val="001D0B1E"/>
    <w:rsid w:val="001E3E6A"/>
    <w:rsid w:val="001E4C58"/>
    <w:rsid w:val="001F09A0"/>
    <w:rsid w:val="001F623D"/>
    <w:rsid w:val="002254B2"/>
    <w:rsid w:val="002510E6"/>
    <w:rsid w:val="00255440"/>
    <w:rsid w:val="00274FFC"/>
    <w:rsid w:val="00281C83"/>
    <w:rsid w:val="002A0FEA"/>
    <w:rsid w:val="002A7B65"/>
    <w:rsid w:val="0032002D"/>
    <w:rsid w:val="00336731"/>
    <w:rsid w:val="0034717F"/>
    <w:rsid w:val="0036164A"/>
    <w:rsid w:val="003B1FF5"/>
    <w:rsid w:val="0042228A"/>
    <w:rsid w:val="0042616E"/>
    <w:rsid w:val="004402CD"/>
    <w:rsid w:val="00466AFD"/>
    <w:rsid w:val="00476B53"/>
    <w:rsid w:val="0048105D"/>
    <w:rsid w:val="00485746"/>
    <w:rsid w:val="0049600E"/>
    <w:rsid w:val="004A3747"/>
    <w:rsid w:val="004B1B73"/>
    <w:rsid w:val="004F216F"/>
    <w:rsid w:val="00503ABC"/>
    <w:rsid w:val="00540D8B"/>
    <w:rsid w:val="00556386"/>
    <w:rsid w:val="0059136A"/>
    <w:rsid w:val="005C4FF5"/>
    <w:rsid w:val="00617453"/>
    <w:rsid w:val="006174A7"/>
    <w:rsid w:val="00625F5D"/>
    <w:rsid w:val="00627588"/>
    <w:rsid w:val="00637CAA"/>
    <w:rsid w:val="00652E10"/>
    <w:rsid w:val="00667510"/>
    <w:rsid w:val="00692536"/>
    <w:rsid w:val="006C1C33"/>
    <w:rsid w:val="006D3B74"/>
    <w:rsid w:val="006F2850"/>
    <w:rsid w:val="006F55EC"/>
    <w:rsid w:val="007158A9"/>
    <w:rsid w:val="00733DB4"/>
    <w:rsid w:val="007834F3"/>
    <w:rsid w:val="00786CBF"/>
    <w:rsid w:val="007A7C97"/>
    <w:rsid w:val="007E7D2B"/>
    <w:rsid w:val="007F42B9"/>
    <w:rsid w:val="00815245"/>
    <w:rsid w:val="0083661C"/>
    <w:rsid w:val="00843FD0"/>
    <w:rsid w:val="008447D1"/>
    <w:rsid w:val="00886737"/>
    <w:rsid w:val="00893B6C"/>
    <w:rsid w:val="008D7C64"/>
    <w:rsid w:val="008F1EBD"/>
    <w:rsid w:val="009046BE"/>
    <w:rsid w:val="00907D5B"/>
    <w:rsid w:val="00922218"/>
    <w:rsid w:val="009247F4"/>
    <w:rsid w:val="0093366D"/>
    <w:rsid w:val="0094170C"/>
    <w:rsid w:val="0094219F"/>
    <w:rsid w:val="00960286"/>
    <w:rsid w:val="00967227"/>
    <w:rsid w:val="0099521F"/>
    <w:rsid w:val="00996A19"/>
    <w:rsid w:val="009A1D76"/>
    <w:rsid w:val="009A4661"/>
    <w:rsid w:val="009C00B6"/>
    <w:rsid w:val="009C07DD"/>
    <w:rsid w:val="009C0C3A"/>
    <w:rsid w:val="009D2E3D"/>
    <w:rsid w:val="009D525A"/>
    <w:rsid w:val="00A0032B"/>
    <w:rsid w:val="00A10D16"/>
    <w:rsid w:val="00A20B59"/>
    <w:rsid w:val="00A411C6"/>
    <w:rsid w:val="00A630A9"/>
    <w:rsid w:val="00A72BDF"/>
    <w:rsid w:val="00A92998"/>
    <w:rsid w:val="00AC52D3"/>
    <w:rsid w:val="00AC604B"/>
    <w:rsid w:val="00AC6B4D"/>
    <w:rsid w:val="00AE52AC"/>
    <w:rsid w:val="00B35FD2"/>
    <w:rsid w:val="00B4271C"/>
    <w:rsid w:val="00B47278"/>
    <w:rsid w:val="00B71474"/>
    <w:rsid w:val="00B81995"/>
    <w:rsid w:val="00B861BF"/>
    <w:rsid w:val="00BB7E39"/>
    <w:rsid w:val="00BF55E8"/>
    <w:rsid w:val="00BF5947"/>
    <w:rsid w:val="00BF6011"/>
    <w:rsid w:val="00BF723B"/>
    <w:rsid w:val="00C217A5"/>
    <w:rsid w:val="00C321CD"/>
    <w:rsid w:val="00C340C8"/>
    <w:rsid w:val="00C35026"/>
    <w:rsid w:val="00C47F19"/>
    <w:rsid w:val="00C716D5"/>
    <w:rsid w:val="00C82943"/>
    <w:rsid w:val="00C87903"/>
    <w:rsid w:val="00CA6DEE"/>
    <w:rsid w:val="00CE0044"/>
    <w:rsid w:val="00CE07F0"/>
    <w:rsid w:val="00CE24D3"/>
    <w:rsid w:val="00CE5259"/>
    <w:rsid w:val="00CF4181"/>
    <w:rsid w:val="00D079E2"/>
    <w:rsid w:val="00D5023B"/>
    <w:rsid w:val="00D52076"/>
    <w:rsid w:val="00D56EA7"/>
    <w:rsid w:val="00D943BC"/>
    <w:rsid w:val="00DD48F7"/>
    <w:rsid w:val="00DD681B"/>
    <w:rsid w:val="00DE1029"/>
    <w:rsid w:val="00DE110F"/>
    <w:rsid w:val="00DF336A"/>
    <w:rsid w:val="00DF68E4"/>
    <w:rsid w:val="00E41B5E"/>
    <w:rsid w:val="00E618CC"/>
    <w:rsid w:val="00E64CCC"/>
    <w:rsid w:val="00E77355"/>
    <w:rsid w:val="00E815B1"/>
    <w:rsid w:val="00E843E3"/>
    <w:rsid w:val="00E859D8"/>
    <w:rsid w:val="00F05250"/>
    <w:rsid w:val="00F23954"/>
    <w:rsid w:val="00F52DA6"/>
    <w:rsid w:val="00F64F4E"/>
    <w:rsid w:val="00F86F72"/>
    <w:rsid w:val="00F979E7"/>
    <w:rsid w:val="00FA68B8"/>
    <w:rsid w:val="00FB49CB"/>
    <w:rsid w:val="00FD5C70"/>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NormalWeb">
    <w:name w:val="Normal (Web)"/>
    <w:basedOn w:val="Normal"/>
    <w:uiPriority w:val="99"/>
    <w:semiHidden/>
    <w:unhideWhenUsed/>
    <w:rsid w:val="00A411C6"/>
    <w:pPr>
      <w:spacing w:before="100" w:beforeAutospacing="1" w:after="100" w:afterAutospacing="1"/>
    </w:pPr>
  </w:style>
  <w:style w:type="character" w:styleId="FootnoteReference">
    <w:name w:val="footnote reference"/>
    <w:basedOn w:val="DefaultParagraphFont"/>
    <w:uiPriority w:val="99"/>
    <w:semiHidden/>
    <w:unhideWhenUsed/>
    <w:rsid w:val="0036164A"/>
    <w:rPr>
      <w:vertAlign w:val="superscript"/>
    </w:rPr>
  </w:style>
  <w:style w:type="paragraph" w:styleId="FootnoteText">
    <w:name w:val="footnote text"/>
    <w:basedOn w:val="Normal"/>
    <w:link w:val="FootnoteTextChar"/>
    <w:uiPriority w:val="99"/>
    <w:semiHidden/>
    <w:unhideWhenUsed/>
    <w:rsid w:val="0036164A"/>
    <w:rPr>
      <w:rFonts w:ascii="Garamond" w:eastAsia="Times New Roman" w:hAnsi="Garamond"/>
      <w:sz w:val="20"/>
      <w:szCs w:val="20"/>
    </w:rPr>
  </w:style>
  <w:style w:type="character" w:customStyle="1" w:styleId="FootnoteTextChar">
    <w:name w:val="Footnote Text Char"/>
    <w:basedOn w:val="DefaultParagraphFont"/>
    <w:link w:val="FootnoteText"/>
    <w:uiPriority w:val="99"/>
    <w:semiHidden/>
    <w:rsid w:val="0036164A"/>
    <w:rPr>
      <w:rFonts w:ascii="Garamond" w:eastAsia="Times New Roman" w:hAnsi="Garamond" w:cs="Times New Roman"/>
      <w:sz w:val="20"/>
      <w:szCs w:val="20"/>
      <w:lang w:eastAsia="en-GB"/>
    </w:rPr>
  </w:style>
  <w:style w:type="character" w:customStyle="1" w:styleId="postal-code">
    <w:name w:val="postal-code"/>
    <w:basedOn w:val="DefaultParagraphFont"/>
    <w:rsid w:val="001F09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 w:type="paragraph" w:styleId="NormalWeb">
    <w:name w:val="Normal (Web)"/>
    <w:basedOn w:val="Normal"/>
    <w:uiPriority w:val="99"/>
    <w:semiHidden/>
    <w:unhideWhenUsed/>
    <w:rsid w:val="00A411C6"/>
    <w:pPr>
      <w:spacing w:before="100" w:beforeAutospacing="1" w:after="100" w:afterAutospacing="1"/>
    </w:pPr>
  </w:style>
  <w:style w:type="character" w:styleId="FootnoteReference">
    <w:name w:val="footnote reference"/>
    <w:basedOn w:val="DefaultParagraphFont"/>
    <w:uiPriority w:val="99"/>
    <w:semiHidden/>
    <w:unhideWhenUsed/>
    <w:rsid w:val="0036164A"/>
    <w:rPr>
      <w:vertAlign w:val="superscript"/>
    </w:rPr>
  </w:style>
  <w:style w:type="paragraph" w:styleId="FootnoteText">
    <w:name w:val="footnote text"/>
    <w:basedOn w:val="Normal"/>
    <w:link w:val="FootnoteTextChar"/>
    <w:uiPriority w:val="99"/>
    <w:semiHidden/>
    <w:unhideWhenUsed/>
    <w:rsid w:val="0036164A"/>
    <w:rPr>
      <w:rFonts w:ascii="Garamond" w:eastAsia="Times New Roman" w:hAnsi="Garamond"/>
      <w:sz w:val="20"/>
      <w:szCs w:val="20"/>
    </w:rPr>
  </w:style>
  <w:style w:type="character" w:customStyle="1" w:styleId="FootnoteTextChar">
    <w:name w:val="Footnote Text Char"/>
    <w:basedOn w:val="DefaultParagraphFont"/>
    <w:link w:val="FootnoteText"/>
    <w:uiPriority w:val="99"/>
    <w:semiHidden/>
    <w:rsid w:val="0036164A"/>
    <w:rPr>
      <w:rFonts w:ascii="Garamond" w:eastAsia="Times New Roman" w:hAnsi="Garamond" w:cs="Times New Roman"/>
      <w:sz w:val="20"/>
      <w:szCs w:val="20"/>
      <w:lang w:eastAsia="en-GB"/>
    </w:rPr>
  </w:style>
  <w:style w:type="character" w:customStyle="1" w:styleId="postal-code">
    <w:name w:val="postal-code"/>
    <w:basedOn w:val="DefaultParagraphFont"/>
    <w:rsid w:val="001F09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7941">
      <w:bodyDiv w:val="1"/>
      <w:marLeft w:val="0"/>
      <w:marRight w:val="0"/>
      <w:marTop w:val="0"/>
      <w:marBottom w:val="0"/>
      <w:divBdr>
        <w:top w:val="none" w:sz="0" w:space="0" w:color="auto"/>
        <w:left w:val="none" w:sz="0" w:space="0" w:color="auto"/>
        <w:bottom w:val="none" w:sz="0" w:space="0" w:color="auto"/>
        <w:right w:val="none" w:sz="0" w:space="0" w:color="auto"/>
      </w:divBdr>
    </w:div>
    <w:div w:id="969944892">
      <w:bodyDiv w:val="1"/>
      <w:marLeft w:val="0"/>
      <w:marRight w:val="0"/>
      <w:marTop w:val="0"/>
      <w:marBottom w:val="0"/>
      <w:divBdr>
        <w:top w:val="none" w:sz="0" w:space="0" w:color="auto"/>
        <w:left w:val="none" w:sz="0" w:space="0" w:color="auto"/>
        <w:bottom w:val="none" w:sz="0" w:space="0" w:color="auto"/>
        <w:right w:val="none" w:sz="0" w:space="0" w:color="auto"/>
      </w:divBdr>
    </w:div>
    <w:div w:id="138309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jnapc.org.uk"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jnapc.org.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obert.yorke@btinternet.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HPMAreview@defra.gov.uk"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historicenvironment.scot/advice-and-support/listing-scheduling-and-designations/marine-heritage/what-is-a-marine-protected-area/" TargetMode="External"/><Relationship Id="rId7" Type="http://schemas.openxmlformats.org/officeDocument/2006/relationships/hyperlink" Target="https://www.daera-ni.gov.uk/articles/marine-historic-environment" TargetMode="External"/><Relationship Id="rId2" Type="http://schemas.openxmlformats.org/officeDocument/2006/relationships/hyperlink" Target="https://research.historicengland.org.uk/Report.aspx?i=15869" TargetMode="External"/><Relationship Id="rId1" Type="http://schemas.openxmlformats.org/officeDocument/2006/relationships/hyperlink" Target="https://assets.publishing.service.gov.uk/government/uploads/system/uploads/attachment_data/file/69322/pb3654-marine-policy-statement-110316.pdf" TargetMode="External"/><Relationship Id="rId6" Type="http://schemas.openxmlformats.org/officeDocument/2006/relationships/hyperlink" Target="https://cadw.gov.wales/advice-support/placemaking/legislation-and-guidance/marine-historic-environment" TargetMode="External"/><Relationship Id="rId5" Type="http://schemas.openxmlformats.org/officeDocument/2006/relationships/hyperlink" Target="https://www.historicenvironment.scot/advice-and-support/listing-scheduling-and-designations/marine-heritage/" TargetMode="External"/><Relationship Id="rId4" Type="http://schemas.openxmlformats.org/officeDocument/2006/relationships/hyperlink" Target="https://historicengland.org.uk/listing/what-is-designation/protected-wreck-si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40DBC-EE4D-4B72-8F95-B79620CBD2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2766</Words>
  <Characters>15767</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3</cp:revision>
  <cp:lastPrinted>2019-10-31T15:42:00Z</cp:lastPrinted>
  <dcterms:created xsi:type="dcterms:W3CDTF">2019-10-31T15:41:00Z</dcterms:created>
  <dcterms:modified xsi:type="dcterms:W3CDTF">2019-10-31T15:43:00Z</dcterms:modified>
</cp:coreProperties>
</file>