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bookmarkStart w:id="0" w:name="_GoBack"/>
      <w:bookmarkEnd w:id="0"/>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Pr="000448FB" w:rsidRDefault="000448FB" w:rsidP="000448FB">
      <w:pPr>
        <w:overflowPunct w:val="0"/>
        <w:autoSpaceDE w:val="0"/>
        <w:autoSpaceDN w:val="0"/>
        <w:adjustRightInd w:val="0"/>
        <w:textAlignment w:val="baseline"/>
        <w:rPr>
          <w:rFonts w:eastAsia="Times New Roman"/>
          <w:color w:val="000000"/>
          <w:shd w:val="clear" w:color="auto" w:fill="FFFFFF"/>
        </w:rPr>
      </w:pPr>
      <w:r w:rsidRPr="000448FB">
        <w:rPr>
          <w:rFonts w:eastAsia="Times New Roman"/>
          <w:color w:val="000000"/>
          <w:shd w:val="clear" w:color="auto" w:fill="FFFFFF"/>
        </w:rPr>
        <w:t>28</w:t>
      </w:r>
      <w:r w:rsidRPr="000448FB">
        <w:rPr>
          <w:rFonts w:eastAsia="Times New Roman"/>
          <w:color w:val="000000"/>
          <w:shd w:val="clear" w:color="auto" w:fill="FFFFFF"/>
          <w:vertAlign w:val="superscript"/>
        </w:rPr>
        <w:t>th</w:t>
      </w:r>
      <w:r w:rsidRPr="000448FB">
        <w:rPr>
          <w:rFonts w:eastAsia="Times New Roman"/>
          <w:color w:val="000000"/>
          <w:shd w:val="clear" w:color="auto" w:fill="FFFFFF"/>
        </w:rPr>
        <w:t xml:space="preserve"> September 2017</w:t>
      </w:r>
    </w:p>
    <w:p w:rsidR="000448FB" w:rsidRPr="000448FB" w:rsidRDefault="000448FB" w:rsidP="000448FB">
      <w:pPr>
        <w:overflowPunct w:val="0"/>
        <w:autoSpaceDE w:val="0"/>
        <w:autoSpaceDN w:val="0"/>
        <w:adjustRightInd w:val="0"/>
        <w:textAlignment w:val="baseline"/>
        <w:rPr>
          <w:rFonts w:eastAsia="Times New Roman"/>
          <w:color w:val="000000"/>
          <w:shd w:val="clear" w:color="auto" w:fill="FFFFFF"/>
        </w:rPr>
      </w:pPr>
    </w:p>
    <w:p w:rsidR="000448FB" w:rsidRPr="000448FB" w:rsidRDefault="000448FB" w:rsidP="000448FB">
      <w:pPr>
        <w:overflowPunct w:val="0"/>
        <w:autoSpaceDE w:val="0"/>
        <w:autoSpaceDN w:val="0"/>
        <w:adjustRightInd w:val="0"/>
        <w:textAlignment w:val="baseline"/>
        <w:rPr>
          <w:rFonts w:eastAsia="Times New Roman"/>
          <w:color w:val="000000"/>
          <w:shd w:val="clear" w:color="auto" w:fill="FFFFFF"/>
        </w:rPr>
      </w:pPr>
      <w:r w:rsidRPr="000448FB">
        <w:rPr>
          <w:rFonts w:eastAsia="Times New Roman"/>
          <w:color w:val="000000"/>
          <w:shd w:val="clear" w:color="auto" w:fill="FFFFFF"/>
        </w:rPr>
        <w:t>Marine Management Organisation</w:t>
      </w:r>
      <w:r w:rsidRPr="000448FB">
        <w:rPr>
          <w:rFonts w:eastAsia="Times New Roman"/>
          <w:color w:val="000000"/>
        </w:rPr>
        <w:br/>
      </w:r>
      <w:r w:rsidRPr="000448FB">
        <w:rPr>
          <w:rFonts w:eastAsia="Times New Roman"/>
          <w:color w:val="000000"/>
          <w:shd w:val="clear" w:color="auto" w:fill="FFFFFF"/>
        </w:rPr>
        <w:t>Lancaster House</w:t>
      </w:r>
    </w:p>
    <w:p w:rsidR="000448FB" w:rsidRPr="000448FB" w:rsidRDefault="000448FB" w:rsidP="000448FB">
      <w:pPr>
        <w:overflowPunct w:val="0"/>
        <w:autoSpaceDE w:val="0"/>
        <w:autoSpaceDN w:val="0"/>
        <w:adjustRightInd w:val="0"/>
        <w:textAlignment w:val="baseline"/>
        <w:rPr>
          <w:rFonts w:eastAsia="Times New Roman"/>
          <w:color w:val="000000"/>
          <w:shd w:val="clear" w:color="auto" w:fill="FFFFFF"/>
        </w:rPr>
      </w:pPr>
      <w:r w:rsidRPr="000448FB">
        <w:rPr>
          <w:rFonts w:eastAsia="Times New Roman"/>
          <w:color w:val="000000"/>
          <w:shd w:val="clear" w:color="auto" w:fill="FFFFFF"/>
        </w:rPr>
        <w:t>Hampshire Court</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sidRPr="000448FB">
        <w:rPr>
          <w:rFonts w:eastAsia="Times New Roman"/>
          <w:color w:val="000000"/>
          <w:shd w:val="clear" w:color="auto" w:fill="FFFFFF"/>
        </w:rPr>
        <w:t>Newcastle upon Tyne, NE4 7YH</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rPr>
      </w:pPr>
      <w:r w:rsidRPr="000448FB">
        <w:rPr>
          <w:rFonts w:eastAsia="Times New Roman"/>
        </w:rPr>
        <w:t>Attention Mr David Morris, Marine Licensing Case Officer.</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E64CCC"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hyperlink r:id="rId9" w:history="1">
        <w:r w:rsidR="000448FB" w:rsidRPr="000448FB">
          <w:rPr>
            <w:rFonts w:eastAsia="Times New Roman"/>
            <w:color w:val="0000FF"/>
            <w:u w:val="single"/>
            <w:bdr w:val="none" w:sz="0" w:space="0" w:color="auto" w:frame="1"/>
            <w:shd w:val="clear" w:color="auto" w:fill="FFFFFF"/>
          </w:rPr>
          <w:t>marine.consents@marinemanagement.org.uk</w:t>
        </w:r>
      </w:hyperlink>
      <w:r w:rsidR="000448FB" w:rsidRPr="000448FB">
        <w:rPr>
          <w:rFonts w:eastAsia="Times New Roman"/>
          <w:color w:val="0B0C0C"/>
          <w:bdr w:val="none" w:sz="0" w:space="0" w:color="auto" w:frame="1"/>
          <w:shd w:val="clear" w:color="auto" w:fill="FFFFFF"/>
        </w:rPr>
        <w:t xml:space="preserve"> </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sidRPr="000448FB">
        <w:rPr>
          <w:rFonts w:eastAsia="Times New Roman"/>
          <w:color w:val="0B0C0C"/>
          <w:bdr w:val="none" w:sz="0" w:space="0" w:color="auto" w:frame="1"/>
          <w:shd w:val="clear" w:color="auto" w:fill="FFFFFF"/>
        </w:rPr>
        <w:t>Dear Mr Morris</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jc w:val="center"/>
        <w:textAlignment w:val="baseline"/>
        <w:rPr>
          <w:rFonts w:eastAsia="Times New Roman"/>
          <w:b/>
          <w:color w:val="0B0C0C"/>
          <w:bdr w:val="none" w:sz="0" w:space="0" w:color="auto" w:frame="1"/>
          <w:shd w:val="clear" w:color="auto" w:fill="FFFFFF"/>
        </w:rPr>
      </w:pPr>
      <w:r w:rsidRPr="000448FB">
        <w:rPr>
          <w:rFonts w:eastAsia="Times New Roman"/>
          <w:b/>
          <w:color w:val="0B0C0C"/>
          <w:bdr w:val="none" w:sz="0" w:space="0" w:color="auto" w:frame="1"/>
          <w:shd w:val="clear" w:color="auto" w:fill="FFFFFF"/>
        </w:rPr>
        <w:t>Dover Harbour Board - Marine Licence Application MLA/2016/00227</w:t>
      </w:r>
    </w:p>
    <w:p w:rsidR="000448FB" w:rsidRPr="000448FB" w:rsidRDefault="000448FB" w:rsidP="000448FB">
      <w:pPr>
        <w:overflowPunct w:val="0"/>
        <w:autoSpaceDE w:val="0"/>
        <w:autoSpaceDN w:val="0"/>
        <w:adjustRightInd w:val="0"/>
        <w:jc w:val="center"/>
        <w:textAlignment w:val="baseline"/>
        <w:rPr>
          <w:rFonts w:eastAsia="Times New Roman"/>
          <w:b/>
          <w:color w:val="0B0C0C"/>
          <w:bdr w:val="none" w:sz="0" w:space="0" w:color="auto" w:frame="1"/>
          <w:shd w:val="clear" w:color="auto" w:fill="FFFFFF"/>
        </w:rPr>
      </w:pPr>
      <w:r w:rsidRPr="000448FB">
        <w:rPr>
          <w:rFonts w:eastAsia="Times New Roman"/>
          <w:b/>
          <w:color w:val="0B0C0C"/>
          <w:shd w:val="clear" w:color="auto" w:fill="FFFFFF"/>
        </w:rPr>
        <w:t>Goodwin Sands Aggregate Dredging Scheme </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sidRPr="000448FB">
        <w:rPr>
          <w:rFonts w:eastAsia="Times New Roman"/>
          <w:color w:val="0B0C0C"/>
          <w:bdr w:val="none" w:sz="0" w:space="0" w:color="auto" w:frame="1"/>
          <w:shd w:val="clear" w:color="auto" w:fill="FFFFFF"/>
        </w:rPr>
        <w:t xml:space="preserve">The Joint Nautical Archaeology Policy Committee (JNAPC) has pleasure in responding to the third Marine Management Organisation (MMO) consultation on licence application MLA/2016/00227. </w:t>
      </w:r>
    </w:p>
    <w:p w:rsidR="000448FB" w:rsidRPr="000448FB" w:rsidRDefault="000448FB" w:rsidP="000448FB">
      <w:pPr>
        <w:keepNext/>
        <w:outlineLvl w:val="1"/>
        <w:rPr>
          <w:rFonts w:eastAsia="Calibri"/>
          <w:lang w:eastAsia="en-US"/>
        </w:rPr>
      </w:pPr>
    </w:p>
    <w:p w:rsidR="000448FB" w:rsidRPr="000448FB" w:rsidRDefault="000448FB" w:rsidP="000448FB">
      <w:pPr>
        <w:keepNext/>
        <w:outlineLvl w:val="1"/>
        <w:rPr>
          <w:rFonts w:eastAsia="Calibri"/>
          <w:lang w:eastAsia="en-US"/>
        </w:rPr>
      </w:pPr>
      <w:r w:rsidRPr="000448FB">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shown in Appendix 1.</w:t>
      </w:r>
    </w:p>
    <w:p w:rsidR="000448FB" w:rsidRPr="000448FB" w:rsidRDefault="000448FB" w:rsidP="000448FB">
      <w:pPr>
        <w:keepNext/>
        <w:outlineLvl w:val="1"/>
        <w:rPr>
          <w:rFonts w:eastAsia="Calibri"/>
          <w:lang w:eastAsia="en-US"/>
        </w:rPr>
      </w:pPr>
    </w:p>
    <w:p w:rsidR="000448FB" w:rsidRPr="000448FB" w:rsidRDefault="000448FB" w:rsidP="000448FB">
      <w:pPr>
        <w:shd w:val="clear" w:color="auto" w:fill="FFFFFF"/>
        <w:rPr>
          <w:rFonts w:eastAsia="Times New Roman"/>
          <w:color w:val="000000"/>
        </w:rPr>
      </w:pPr>
      <w:r w:rsidRPr="000448FB">
        <w:rPr>
          <w:rFonts w:eastAsia="Calibri"/>
          <w:lang w:eastAsia="en-US"/>
        </w:rPr>
        <w:t xml:space="preserve">The JNAPC has a membership (see Appendix 2)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Council for British Archaeology, the Chartered Institute for Archaeologists. </w:t>
      </w:r>
      <w:r w:rsidRPr="000448FB">
        <w:rPr>
          <w:rFonts w:eastAsia="Times New Roman"/>
          <w:color w:val="000000"/>
        </w:rPr>
        <w:t xml:space="preserve">Whilst Wessex Archaeology is a member of the JNAPC it has absented itself from this consultation response as it has worked as a contractor for Dover Harbour Board on this project. The Crown Estate is an Observer on JNAPC and as a statutory consultee has also absented itself from this consultation response. </w:t>
      </w:r>
      <w:r w:rsidRPr="000448FB">
        <w:rPr>
          <w:rFonts w:eastAsia="Times New Roman"/>
        </w:rPr>
        <w:t>The views expressed by the JNAPC do not necessarily represent the views of the members and observers.</w:t>
      </w:r>
    </w:p>
    <w:p w:rsidR="000448FB" w:rsidRPr="000448FB" w:rsidRDefault="000448FB" w:rsidP="000448FB">
      <w:pPr>
        <w:shd w:val="clear" w:color="auto" w:fill="FFFFFF"/>
        <w:rPr>
          <w:rFonts w:eastAsia="Times New Roman"/>
          <w:color w:val="0B0C0C"/>
          <w:bdr w:val="none" w:sz="0" w:space="0" w:color="auto" w:frame="1"/>
          <w:shd w:val="clear" w:color="auto" w:fill="FFFFFF"/>
        </w:rPr>
      </w:pPr>
    </w:p>
    <w:p w:rsidR="000448FB" w:rsidRPr="000448FB" w:rsidRDefault="000448FB" w:rsidP="000448FB">
      <w:pPr>
        <w:shd w:val="clear" w:color="auto" w:fill="FFFFFF"/>
        <w:rPr>
          <w:rFonts w:eastAsia="Times New Roman"/>
          <w:color w:val="0B0C0C"/>
          <w:bdr w:val="none" w:sz="0" w:space="0" w:color="auto" w:frame="1"/>
          <w:shd w:val="clear" w:color="auto" w:fill="FFFFFF"/>
        </w:rPr>
      </w:pPr>
    </w:p>
    <w:p w:rsidR="000448FB" w:rsidRPr="000448FB" w:rsidRDefault="000448FB" w:rsidP="000448FB">
      <w:pPr>
        <w:rPr>
          <w:b/>
          <w:lang w:eastAsia="en-US"/>
        </w:rPr>
      </w:pPr>
      <w:r w:rsidRPr="000448FB">
        <w:rPr>
          <w:b/>
          <w:lang w:eastAsia="en-US"/>
        </w:rPr>
        <w:t>1</w:t>
      </w:r>
      <w:r w:rsidRPr="000448FB">
        <w:rPr>
          <w:b/>
          <w:lang w:eastAsia="en-US"/>
        </w:rPr>
        <w:tab/>
        <w:t>Introduction</w:t>
      </w:r>
    </w:p>
    <w:p w:rsidR="000448FB" w:rsidRPr="000448FB" w:rsidRDefault="000448FB" w:rsidP="000448FB">
      <w:pPr>
        <w:rPr>
          <w:lang w:eastAsia="en-US"/>
        </w:rPr>
      </w:pP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sidRPr="000448FB">
        <w:rPr>
          <w:rFonts w:eastAsia="Times New Roman"/>
          <w:color w:val="0B0C0C"/>
          <w:bdr w:val="none" w:sz="0" w:space="0" w:color="auto" w:frame="1"/>
          <w:shd w:val="clear" w:color="auto" w:fill="FFFFFF"/>
        </w:rPr>
        <w:t>The JNAPC responded to the original consultations on 20</w:t>
      </w:r>
      <w:r w:rsidRPr="000448FB">
        <w:rPr>
          <w:rFonts w:eastAsia="Times New Roman"/>
          <w:color w:val="0B0C0C"/>
          <w:bdr w:val="none" w:sz="0" w:space="0" w:color="auto" w:frame="1"/>
          <w:shd w:val="clear" w:color="auto" w:fill="FFFFFF"/>
          <w:vertAlign w:val="superscript"/>
        </w:rPr>
        <w:t>th</w:t>
      </w:r>
      <w:r w:rsidRPr="000448FB">
        <w:rPr>
          <w:rFonts w:eastAsia="Times New Roman"/>
          <w:color w:val="0B0C0C"/>
          <w:bdr w:val="none" w:sz="0" w:space="0" w:color="auto" w:frame="1"/>
          <w:shd w:val="clear" w:color="auto" w:fill="FFFFFF"/>
        </w:rPr>
        <w:t xml:space="preserve"> July 2016 and 16</w:t>
      </w:r>
      <w:r w:rsidRPr="000448FB">
        <w:rPr>
          <w:rFonts w:eastAsia="Times New Roman"/>
          <w:color w:val="0B0C0C"/>
          <w:bdr w:val="none" w:sz="0" w:space="0" w:color="auto" w:frame="1"/>
          <w:shd w:val="clear" w:color="auto" w:fill="FFFFFF"/>
          <w:vertAlign w:val="superscript"/>
        </w:rPr>
        <w:t>th</w:t>
      </w:r>
      <w:r w:rsidRPr="000448FB">
        <w:rPr>
          <w:rFonts w:eastAsia="Times New Roman"/>
          <w:color w:val="0B0C0C"/>
          <w:bdr w:val="none" w:sz="0" w:space="0" w:color="auto" w:frame="1"/>
          <w:shd w:val="clear" w:color="auto" w:fill="FFFFFF"/>
        </w:rPr>
        <w:t xml:space="preserve"> November 2016 in which it noted the documentation produced by </w:t>
      </w:r>
      <w:r w:rsidRPr="000448FB">
        <w:rPr>
          <w:color w:val="0B0C0C"/>
          <w:bdr w:val="none" w:sz="0" w:space="0" w:color="auto" w:frame="1"/>
          <w:shd w:val="clear" w:color="auto" w:fill="FFFFFF"/>
          <w:lang w:eastAsia="en-US"/>
        </w:rPr>
        <w:t>Royal HaskoningDHV</w:t>
      </w:r>
      <w:r w:rsidRPr="000448FB">
        <w:rPr>
          <w:rFonts w:eastAsia="Times New Roman"/>
          <w:color w:val="0B0C0C"/>
          <w:bdr w:val="none" w:sz="0" w:space="0" w:color="auto" w:frame="1"/>
          <w:shd w:val="clear" w:color="auto" w:fill="FFFFFF"/>
        </w:rPr>
        <w:t xml:space="preserve"> (RHDHV) for Dover Harbour Board (DHB) and made the following points:</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numPr>
          <w:ilvl w:val="0"/>
          <w:numId w:val="1"/>
        </w:numPr>
        <w:overflowPunct w:val="0"/>
        <w:autoSpaceDE w:val="0"/>
        <w:autoSpaceDN w:val="0"/>
        <w:adjustRightInd w:val="0"/>
        <w:spacing w:after="200" w:line="276" w:lineRule="auto"/>
        <w:ind w:left="360"/>
        <w:contextualSpacing/>
        <w:textAlignment w:val="baseline"/>
        <w:rPr>
          <w:rFonts w:eastAsia="Times New Roman"/>
          <w:i/>
          <w:color w:val="0B0C0C"/>
          <w:bdr w:val="none" w:sz="0" w:space="0" w:color="auto" w:frame="1"/>
          <w:shd w:val="clear" w:color="auto" w:fill="FFFFFF"/>
        </w:rPr>
      </w:pPr>
      <w:r w:rsidRPr="000448FB">
        <w:rPr>
          <w:rFonts w:eastAsia="Times New Roman"/>
          <w:i/>
          <w:color w:val="0B0C0C"/>
          <w:bdr w:val="none" w:sz="0" w:space="0" w:color="auto" w:frame="1"/>
          <w:shd w:val="clear" w:color="auto" w:fill="FFFFFF"/>
        </w:rPr>
        <w:lastRenderedPageBreak/>
        <w:t>The sediments could contain both in situ and derived anthropogenic artefacts and preserved palaeoenvironmental material.</w:t>
      </w:r>
    </w:p>
    <w:p w:rsidR="000448FB" w:rsidRPr="000448FB" w:rsidRDefault="000448FB" w:rsidP="000448FB">
      <w:pPr>
        <w:overflowPunct w:val="0"/>
        <w:autoSpaceDE w:val="0"/>
        <w:autoSpaceDN w:val="0"/>
        <w:adjustRightInd w:val="0"/>
        <w:textAlignment w:val="baseline"/>
        <w:rPr>
          <w:rFonts w:eastAsia="Times New Roman"/>
          <w:i/>
          <w:color w:val="0B0C0C"/>
          <w:bdr w:val="none" w:sz="0" w:space="0" w:color="auto" w:frame="1"/>
          <w:shd w:val="clear" w:color="auto" w:fill="FFFFFF"/>
        </w:rPr>
      </w:pPr>
    </w:p>
    <w:p w:rsidR="000448FB" w:rsidRPr="000448FB" w:rsidRDefault="000448FB" w:rsidP="000448FB">
      <w:pPr>
        <w:numPr>
          <w:ilvl w:val="0"/>
          <w:numId w:val="1"/>
        </w:numPr>
        <w:overflowPunct w:val="0"/>
        <w:autoSpaceDE w:val="0"/>
        <w:autoSpaceDN w:val="0"/>
        <w:adjustRightInd w:val="0"/>
        <w:spacing w:after="200" w:line="276" w:lineRule="auto"/>
        <w:ind w:left="360"/>
        <w:contextualSpacing/>
        <w:textAlignment w:val="baseline"/>
        <w:rPr>
          <w:rFonts w:eastAsia="Times New Roman"/>
          <w:i/>
          <w:color w:val="0B0C0C"/>
          <w:bdr w:val="none" w:sz="0" w:space="0" w:color="auto" w:frame="1"/>
          <w:shd w:val="clear" w:color="auto" w:fill="FFFFFF"/>
        </w:rPr>
      </w:pPr>
      <w:r w:rsidRPr="000448FB">
        <w:rPr>
          <w:rFonts w:eastAsia="Times New Roman"/>
          <w:i/>
          <w:color w:val="0B0C0C"/>
          <w:bdr w:val="none" w:sz="0" w:space="0" w:color="auto" w:frame="1"/>
          <w:shd w:val="clear" w:color="auto" w:fill="FFFFFF"/>
        </w:rPr>
        <w:t>The potential for the presence of previously unrecorded wrecks on Goodwin Sands is very high.</w:t>
      </w:r>
    </w:p>
    <w:p w:rsidR="000448FB" w:rsidRPr="000448FB" w:rsidRDefault="000448FB" w:rsidP="000448FB">
      <w:pPr>
        <w:overflowPunct w:val="0"/>
        <w:autoSpaceDE w:val="0"/>
        <w:autoSpaceDN w:val="0"/>
        <w:adjustRightInd w:val="0"/>
        <w:textAlignment w:val="baseline"/>
        <w:rPr>
          <w:rFonts w:eastAsia="Times New Roman"/>
          <w:i/>
          <w:color w:val="0B0C0C"/>
          <w:bdr w:val="none" w:sz="0" w:space="0" w:color="auto" w:frame="1"/>
          <w:shd w:val="clear" w:color="auto" w:fill="FFFFFF"/>
        </w:rPr>
      </w:pPr>
    </w:p>
    <w:p w:rsidR="000448FB" w:rsidRPr="000448FB" w:rsidRDefault="000448FB" w:rsidP="000448FB">
      <w:pPr>
        <w:numPr>
          <w:ilvl w:val="0"/>
          <w:numId w:val="1"/>
        </w:numPr>
        <w:overflowPunct w:val="0"/>
        <w:autoSpaceDE w:val="0"/>
        <w:autoSpaceDN w:val="0"/>
        <w:adjustRightInd w:val="0"/>
        <w:spacing w:after="200" w:line="276" w:lineRule="auto"/>
        <w:ind w:left="360"/>
        <w:contextualSpacing/>
        <w:textAlignment w:val="baseline"/>
        <w:rPr>
          <w:rFonts w:eastAsia="Times New Roman"/>
          <w:i/>
          <w:color w:val="0B0C0C"/>
          <w:bdr w:val="none" w:sz="0" w:space="0" w:color="auto" w:frame="1"/>
          <w:shd w:val="clear" w:color="auto" w:fill="FFFFFF"/>
        </w:rPr>
      </w:pPr>
      <w:r w:rsidRPr="000448FB">
        <w:rPr>
          <w:rFonts w:eastAsia="Times New Roman"/>
          <w:i/>
          <w:color w:val="0B0C0C"/>
          <w:bdr w:val="none" w:sz="0" w:space="0" w:color="auto" w:frame="1"/>
          <w:shd w:val="clear" w:color="auto" w:fill="FFFFFF"/>
        </w:rPr>
        <w:t>There is high potential for the remains of crashed aircraft on Goodwin Sands.</w:t>
      </w:r>
      <w:r w:rsidRPr="000448FB">
        <w:rPr>
          <w:rFonts w:eastAsia="Times New Roman"/>
          <w:i/>
          <w:color w:val="0B0C0C"/>
          <w:bdr w:val="none" w:sz="0" w:space="0" w:color="auto" w:frame="1"/>
          <w:shd w:val="clear" w:color="auto" w:fill="FFFFFF"/>
        </w:rPr>
        <w:br/>
      </w:r>
    </w:p>
    <w:p w:rsidR="000448FB" w:rsidRPr="000448FB" w:rsidRDefault="000448FB" w:rsidP="000448FB">
      <w:pPr>
        <w:numPr>
          <w:ilvl w:val="0"/>
          <w:numId w:val="1"/>
        </w:numPr>
        <w:overflowPunct w:val="0"/>
        <w:autoSpaceDE w:val="0"/>
        <w:autoSpaceDN w:val="0"/>
        <w:adjustRightInd w:val="0"/>
        <w:spacing w:after="200" w:line="276" w:lineRule="auto"/>
        <w:ind w:left="360"/>
        <w:contextualSpacing/>
        <w:textAlignment w:val="baseline"/>
        <w:rPr>
          <w:rFonts w:eastAsia="Times New Roman"/>
          <w:i/>
          <w:color w:val="0B0C0C"/>
          <w:bdr w:val="none" w:sz="0" w:space="0" w:color="auto" w:frame="1"/>
          <w:shd w:val="clear" w:color="auto" w:fill="FFFFFF"/>
        </w:rPr>
      </w:pPr>
      <w:r w:rsidRPr="000448FB">
        <w:rPr>
          <w:rFonts w:eastAsia="Times New Roman"/>
          <w:i/>
          <w:color w:val="0B0C0C"/>
          <w:bdr w:val="none" w:sz="0" w:space="0" w:color="auto" w:frame="1"/>
          <w:shd w:val="clear" w:color="auto" w:fill="FFFFFF"/>
        </w:rPr>
        <w:t>Discoveries of in situ archaeological and palaeoenvironmental material are rare within the marine environment. Consequently any such discoveries will be of high value.</w:t>
      </w:r>
    </w:p>
    <w:p w:rsidR="000448FB" w:rsidRPr="000448FB" w:rsidRDefault="000448FB" w:rsidP="000448FB">
      <w:pPr>
        <w:overflowPunct w:val="0"/>
        <w:autoSpaceDE w:val="0"/>
        <w:autoSpaceDN w:val="0"/>
        <w:adjustRightInd w:val="0"/>
        <w:textAlignment w:val="baseline"/>
        <w:rPr>
          <w:rFonts w:eastAsia="Times New Roman"/>
          <w:i/>
          <w:color w:val="0B0C0C"/>
          <w:bdr w:val="none" w:sz="0" w:space="0" w:color="auto" w:frame="1"/>
          <w:shd w:val="clear" w:color="auto" w:fill="FFFFFF"/>
        </w:rPr>
      </w:pPr>
    </w:p>
    <w:p w:rsidR="000448FB" w:rsidRPr="000448FB" w:rsidRDefault="000448FB" w:rsidP="000448FB">
      <w:pPr>
        <w:numPr>
          <w:ilvl w:val="0"/>
          <w:numId w:val="1"/>
        </w:numPr>
        <w:overflowPunct w:val="0"/>
        <w:autoSpaceDE w:val="0"/>
        <w:autoSpaceDN w:val="0"/>
        <w:adjustRightInd w:val="0"/>
        <w:spacing w:after="200" w:line="276" w:lineRule="auto"/>
        <w:ind w:left="360"/>
        <w:contextualSpacing/>
        <w:textAlignment w:val="baseline"/>
        <w:rPr>
          <w:rFonts w:eastAsia="Times New Roman"/>
          <w:i/>
          <w:color w:val="0B0C0C"/>
          <w:bdr w:val="none" w:sz="0" w:space="0" w:color="auto" w:frame="1"/>
          <w:shd w:val="clear" w:color="auto" w:fill="FFFFFF"/>
        </w:rPr>
      </w:pPr>
      <w:r w:rsidRPr="000448FB">
        <w:rPr>
          <w:rFonts w:eastAsia="Times New Roman"/>
          <w:i/>
          <w:color w:val="0B0C0C"/>
          <w:bdr w:val="none" w:sz="0" w:space="0" w:color="auto" w:frame="1"/>
          <w:shd w:val="clear" w:color="auto" w:fill="FFFFFF"/>
        </w:rPr>
        <w:t>Impacts which results in damage or destruction of the heritage assets themselves, or their relationship with their wider environment and context, are permanent. Once destroyed a heritage asset cannot recover.</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sidRPr="000448FB">
        <w:rPr>
          <w:rFonts w:eastAsia="Times New Roman"/>
          <w:color w:val="0B0C0C"/>
          <w:bdr w:val="none" w:sz="0" w:space="0" w:color="auto" w:frame="1"/>
          <w:shd w:val="clear" w:color="auto" w:fill="FFFFFF"/>
        </w:rPr>
        <w:t>We believe that these points remain true and that all comments made in the JNAPC’s original responses are still relevant and should continue to be considered.</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b/>
          <w:color w:val="0B0C0C"/>
          <w:bdr w:val="none" w:sz="0" w:space="0" w:color="auto" w:frame="1"/>
          <w:shd w:val="clear" w:color="auto" w:fill="FFFFFF"/>
        </w:rPr>
      </w:pPr>
      <w:r w:rsidRPr="000448FB">
        <w:rPr>
          <w:rFonts w:eastAsia="Times New Roman"/>
          <w:b/>
          <w:color w:val="0B0C0C"/>
          <w:bdr w:val="none" w:sz="0" w:space="0" w:color="auto" w:frame="1"/>
          <w:shd w:val="clear" w:color="auto" w:fill="FFFFFF"/>
        </w:rPr>
        <w:t>2</w:t>
      </w:r>
      <w:r w:rsidRPr="000448FB">
        <w:rPr>
          <w:rFonts w:eastAsia="Times New Roman"/>
          <w:b/>
          <w:color w:val="0B0C0C"/>
          <w:bdr w:val="none" w:sz="0" w:space="0" w:color="auto" w:frame="1"/>
          <w:shd w:val="clear" w:color="auto" w:fill="FFFFFF"/>
        </w:rPr>
        <w:tab/>
        <w:t>Recommendation</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b/>
          <w:color w:val="0B0C0C"/>
          <w:bdr w:val="none" w:sz="0" w:space="0" w:color="auto" w:frame="1"/>
          <w:shd w:val="clear" w:color="auto" w:fill="FFFFFF"/>
        </w:rPr>
      </w:pPr>
      <w:r w:rsidRPr="000448FB">
        <w:rPr>
          <w:rFonts w:eastAsia="Times New Roman"/>
          <w:b/>
          <w:color w:val="0B0C0C"/>
          <w:bdr w:val="none" w:sz="0" w:space="0" w:color="auto" w:frame="1"/>
          <w:shd w:val="clear" w:color="auto" w:fill="FFFFFF"/>
        </w:rPr>
        <w:t>JNAPC does not believe that the information produced by</w:t>
      </w:r>
      <w:r w:rsidRPr="000448FB">
        <w:rPr>
          <w:b/>
          <w:color w:val="0B0C0C"/>
          <w:bdr w:val="none" w:sz="0" w:space="0" w:color="auto" w:frame="1"/>
          <w:shd w:val="clear" w:color="auto" w:fill="FFFFFF"/>
          <w:lang w:eastAsia="en-US"/>
        </w:rPr>
        <w:t xml:space="preserve"> Royal HaskoningDHV</w:t>
      </w:r>
      <w:r w:rsidRPr="000448FB">
        <w:rPr>
          <w:rFonts w:eastAsia="Times New Roman"/>
          <w:b/>
          <w:color w:val="0B0C0C"/>
          <w:bdr w:val="none" w:sz="0" w:space="0" w:color="auto" w:frame="1"/>
          <w:shd w:val="clear" w:color="auto" w:fill="FFFFFF"/>
        </w:rPr>
        <w:t xml:space="preserve"> </w:t>
      </w:r>
      <w:r w:rsidRPr="000448FB">
        <w:rPr>
          <w:b/>
          <w:lang w:eastAsia="en-US"/>
        </w:rPr>
        <w:t>provides adequate evidence that heritage assets will not be adversely impacted and that the threat to these assets will be properly mitigated. On the basis that Dover Harbour Board has an alternative source of aggregate, and under the precautionary principle, t</w:t>
      </w:r>
      <w:r w:rsidRPr="000448FB">
        <w:rPr>
          <w:rFonts w:eastAsia="Times New Roman"/>
          <w:b/>
          <w:color w:val="0B0C0C"/>
          <w:bdr w:val="none" w:sz="0" w:space="0" w:color="auto" w:frame="1"/>
          <w:shd w:val="clear" w:color="auto" w:fill="FFFFFF"/>
        </w:rPr>
        <w:t>he JNAPC recommends that the MMO does not issue a marine licence to the Dover Harbour Board to dredge aggregates from the Goodwin Sands.</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b/>
          <w:color w:val="0B0C0C"/>
          <w:bdr w:val="none" w:sz="0" w:space="0" w:color="auto" w:frame="1"/>
          <w:shd w:val="clear" w:color="auto" w:fill="FFFFFF"/>
        </w:rPr>
      </w:pPr>
      <w:r w:rsidRPr="000448FB">
        <w:rPr>
          <w:rFonts w:eastAsia="Times New Roman"/>
          <w:b/>
          <w:color w:val="0B0C0C"/>
          <w:bdr w:val="none" w:sz="0" w:space="0" w:color="auto" w:frame="1"/>
          <w:shd w:val="clear" w:color="auto" w:fill="FFFFFF"/>
        </w:rPr>
        <w:t>3</w:t>
      </w:r>
      <w:r w:rsidRPr="000448FB">
        <w:rPr>
          <w:rFonts w:eastAsia="Times New Roman"/>
          <w:b/>
          <w:color w:val="0B0C0C"/>
          <w:bdr w:val="none" w:sz="0" w:space="0" w:color="auto" w:frame="1"/>
          <w:shd w:val="clear" w:color="auto" w:fill="FFFFFF"/>
        </w:rPr>
        <w:tab/>
        <w:t>The threat to heritage assets</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0448FB" w:rsidRDefault="000448FB" w:rsidP="000448FB">
      <w:pPr>
        <w:rPr>
          <w:b/>
          <w:lang w:eastAsia="en-US"/>
        </w:rPr>
      </w:pPr>
      <w:r w:rsidRPr="000448FB">
        <w:rPr>
          <w:b/>
          <w:lang w:eastAsia="en-US"/>
        </w:rPr>
        <w:t>3.1</w:t>
      </w:r>
      <w:r w:rsidRPr="000448FB">
        <w:rPr>
          <w:b/>
          <w:lang w:eastAsia="en-US"/>
        </w:rPr>
        <w:tab/>
        <w:t>The new surveys including the magnetometer survey</w:t>
      </w:r>
    </w:p>
    <w:p w:rsidR="000448FB" w:rsidRPr="000448FB" w:rsidRDefault="000448FB" w:rsidP="000448FB">
      <w:pPr>
        <w:rPr>
          <w:lang w:eastAsia="en-US"/>
        </w:rPr>
      </w:pPr>
      <w:r w:rsidRPr="000448FB">
        <w:rPr>
          <w:lang w:eastAsia="en-US"/>
        </w:rPr>
        <w:t xml:space="preserve">We welcome the new higher resolution geophysical surveys undertaken by Clinton Marine Surveys. The results of these surveys show 305 new anomalies of uncertain origin of possible archaeological interest (A2) concentrated along the western edge of the survey area where sand coverage is lower and 9 new anomalies of uncertain origin of possible archaeological interest but outside the vertical footprint (i.e. deeper than 2.5m in the sand) (O2) and one historic record of possible archaeological interest with no corresponding physical anomaly (A3). This is the recorded loss location of the East Indiaman </w:t>
      </w:r>
      <w:r w:rsidRPr="000448FB">
        <w:rPr>
          <w:i/>
          <w:lang w:eastAsia="en-US"/>
        </w:rPr>
        <w:t>Britannia</w:t>
      </w:r>
      <w:r w:rsidRPr="000448FB">
        <w:rPr>
          <w:lang w:eastAsia="en-US"/>
        </w:rPr>
        <w:t xml:space="preserve"> which is known to have sunk on South Sands Head but no remains have yet been found.</w:t>
      </w:r>
    </w:p>
    <w:p w:rsidR="000448FB" w:rsidRPr="000448FB" w:rsidRDefault="000448FB" w:rsidP="000448FB">
      <w:pPr>
        <w:rPr>
          <w:lang w:eastAsia="en-US"/>
        </w:rPr>
      </w:pPr>
    </w:p>
    <w:p w:rsidR="000448FB" w:rsidRPr="000448FB" w:rsidRDefault="000448FB" w:rsidP="000448FB">
      <w:pPr>
        <w:rPr>
          <w:rFonts w:eastAsia="Times New Roman"/>
          <w:color w:val="0B0C0C"/>
          <w:bdr w:val="none" w:sz="0" w:space="0" w:color="auto" w:frame="1"/>
          <w:shd w:val="clear" w:color="auto" w:fill="FFFFFF"/>
        </w:rPr>
      </w:pPr>
      <w:r w:rsidRPr="000448FB">
        <w:rPr>
          <w:lang w:eastAsia="en-US"/>
        </w:rPr>
        <w:t xml:space="preserve">What is remarkable is that about 135 of these anomalies lie in the dredge area originally proposed in 2016, particularly down the western side, so much so that </w:t>
      </w:r>
      <w:r w:rsidRPr="000448FB">
        <w:rPr>
          <w:rFonts w:eastAsia="Times New Roman"/>
          <w:color w:val="0B0C0C"/>
          <w:bdr w:val="none" w:sz="0" w:space="0" w:color="auto" w:frame="1"/>
          <w:shd w:val="clear" w:color="auto" w:fill="FFFFFF"/>
        </w:rPr>
        <w:t xml:space="preserve">RHDHV and DHB have been obliged to reduce substantially the proposed dredge area. For instance the new “Refined Dredge Footprint (2017)” has reduced the sand area by up to 50% for much of the middle and lower dredging area. </w:t>
      </w:r>
    </w:p>
    <w:p w:rsidR="000448FB" w:rsidRPr="000448FB" w:rsidRDefault="000448FB" w:rsidP="000448FB">
      <w:pPr>
        <w:rPr>
          <w:rFonts w:eastAsia="Times New Roman"/>
          <w:color w:val="0B0C0C"/>
          <w:bdr w:val="none" w:sz="0" w:space="0" w:color="auto" w:frame="1"/>
          <w:shd w:val="clear" w:color="auto" w:fill="FFFFFF"/>
        </w:rPr>
      </w:pPr>
    </w:p>
    <w:p w:rsidR="000448FB" w:rsidRPr="000448FB" w:rsidRDefault="000448FB" w:rsidP="000448FB">
      <w:pPr>
        <w:rPr>
          <w:rFonts w:eastAsia="Times New Roman"/>
          <w:color w:val="0B0C0C"/>
          <w:bdr w:val="none" w:sz="0" w:space="0" w:color="auto" w:frame="1"/>
          <w:shd w:val="clear" w:color="auto" w:fill="FFFFFF"/>
        </w:rPr>
      </w:pPr>
      <w:r w:rsidRPr="000448FB">
        <w:rPr>
          <w:lang w:eastAsia="en-US"/>
        </w:rPr>
        <w:t xml:space="preserve">The discovery of these new anomalies has serious implications for the methodology used by </w:t>
      </w:r>
      <w:r w:rsidRPr="000448FB">
        <w:rPr>
          <w:rFonts w:eastAsia="Times New Roman"/>
          <w:color w:val="0B0C0C"/>
          <w:bdr w:val="none" w:sz="0" w:space="0" w:color="auto" w:frame="1"/>
          <w:shd w:val="clear" w:color="auto" w:fill="FFFFFF"/>
        </w:rPr>
        <w:t>RHDHV and DHB because if their licence application submitted in 2016 had not been challenged in previous consultations, and they had not been forced to carry out a magnetometer survey in 2017, a licence for dredging could have been issued on the basis of RHDHV’s 2016 evidence and these anomalies could have been seriously impacted.</w:t>
      </w:r>
    </w:p>
    <w:p w:rsidR="000448FB" w:rsidRPr="000448FB" w:rsidRDefault="000448FB" w:rsidP="000448FB">
      <w:pPr>
        <w:rPr>
          <w:rFonts w:eastAsia="Times New Roman"/>
          <w:color w:val="0B0C0C"/>
          <w:bdr w:val="none" w:sz="0" w:space="0" w:color="auto" w:frame="1"/>
          <w:shd w:val="clear" w:color="auto" w:fill="FFFFFF"/>
        </w:rPr>
      </w:pPr>
    </w:p>
    <w:p w:rsidR="000448FB" w:rsidRPr="000448FB" w:rsidRDefault="000448FB" w:rsidP="000448FB">
      <w:pPr>
        <w:overflowPunct w:val="0"/>
        <w:autoSpaceDE w:val="0"/>
        <w:autoSpaceDN w:val="0"/>
        <w:adjustRightInd w:val="0"/>
        <w:textAlignment w:val="baseline"/>
        <w:rPr>
          <w:rFonts w:eastAsia="Times New Roman"/>
        </w:rPr>
      </w:pPr>
      <w:r w:rsidRPr="000448FB">
        <w:rPr>
          <w:rFonts w:eastAsia="Times New Roman"/>
        </w:rPr>
        <w:lastRenderedPageBreak/>
        <w:t>It appears from the report that the assessors of the bathymetric and geophysical survey data had difficulties fully integrating the data from multiple lines of evidence - note the statement “</w:t>
      </w:r>
      <w:r w:rsidRPr="000448FB">
        <w:rPr>
          <w:rFonts w:eastAsia="Times New Roman"/>
          <w:i/>
        </w:rPr>
        <w:t>Differences in interpretation are due to the differing remit, data processing workflows and interpretation workflow”</w:t>
      </w:r>
      <w:r w:rsidRPr="000448FB">
        <w:rPr>
          <w:rFonts w:eastAsia="Times New Roman"/>
        </w:rPr>
        <w:t xml:space="preserve"> (WA Appendix 3: 4.1.7). Therefore the confidence in the archaeological interpretation of the data must be suspect. Consequently any anomalies displaying archaeological potential should be fully investigated (ground-truthed) to ensure that potential sites are not overlooked. Such investigation could require a licence under the </w:t>
      </w:r>
      <w:r w:rsidRPr="000448FB">
        <w:rPr>
          <w:lang w:eastAsia="en-US"/>
        </w:rPr>
        <w:t>Protection of Military Remains Act 1986.</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 xml:space="preserve">Most of the new anomalies have been detected in the recent re-survey of the site by magnetometer but it is important to note that a magnetometer survey does not show up wood or non-ferrous metal. It is quite possible therefore that there are the remains of historic wooden wrecks and the aluminium remains of Second World War aircraft which have not been identified by the surveys in the </w:t>
      </w:r>
      <w:r w:rsidRPr="000448FB">
        <w:rPr>
          <w:rFonts w:eastAsia="Times New Roman"/>
          <w:color w:val="0B0C0C"/>
          <w:bdr w:val="none" w:sz="0" w:space="0" w:color="auto" w:frame="1"/>
          <w:shd w:val="clear" w:color="auto" w:fill="FFFFFF"/>
        </w:rPr>
        <w:t>Refined Dredge Footprint</w:t>
      </w:r>
      <w:r w:rsidRPr="000448FB">
        <w:rPr>
          <w:lang w:eastAsia="en-US"/>
        </w:rPr>
        <w:t>. The question then has to be asked – how did these ferrous and non-ferrous anomalies arrive on the Goodwin Sands? They could only have arrived as part of a ship or an aircraft and so it quite possible that the anomalies are not isolated finds but components within a much larger wooden vessel or aluminium aircraft. On this basis these anomalies should not be treated as isolated finds and given 25m Precautionary Exclusion Zones (PEZs), as RHDHV propose (see below), but based on the precautionary principle given much larger exclusion zones worthy of a wreck or aircraft. Ideally these anomalies should be investigated on the ground (see below).</w:t>
      </w:r>
    </w:p>
    <w:p w:rsidR="000448FB" w:rsidRPr="000448FB" w:rsidRDefault="000448FB" w:rsidP="000448FB">
      <w:pPr>
        <w:shd w:val="clear" w:color="auto" w:fill="FFFFFF"/>
        <w:overflowPunct w:val="0"/>
        <w:autoSpaceDE w:val="0"/>
        <w:autoSpaceDN w:val="0"/>
        <w:adjustRightInd w:val="0"/>
        <w:textAlignment w:val="baseline"/>
        <w:rPr>
          <w:lang w:eastAsia="en-US"/>
        </w:rPr>
      </w:pPr>
    </w:p>
    <w:p w:rsidR="000448FB" w:rsidRPr="000448FB" w:rsidRDefault="000448FB" w:rsidP="000448FB">
      <w:pPr>
        <w:shd w:val="clear" w:color="auto" w:fill="FFFFFF"/>
        <w:overflowPunct w:val="0"/>
        <w:autoSpaceDE w:val="0"/>
        <w:autoSpaceDN w:val="0"/>
        <w:adjustRightInd w:val="0"/>
        <w:textAlignment w:val="baseline"/>
        <w:rPr>
          <w:rFonts w:eastAsia="Times New Roman"/>
        </w:rPr>
      </w:pPr>
      <w:r w:rsidRPr="000448FB">
        <w:rPr>
          <w:lang w:eastAsia="en-US"/>
        </w:rPr>
        <w:t>However it must be remembered that t</w:t>
      </w:r>
      <w:r w:rsidRPr="000448FB">
        <w:rPr>
          <w:rFonts w:eastAsia="Times New Roman"/>
        </w:rPr>
        <w:t>he Goodwins is an area with known concentrations of archaeological sites and even the highest resolution bathymetric and geophysical surveys cannot or are unlikely to detect buried archaeological remains so the impacts cannot be easily mitigated and the potential to encounter and destroy unknown buried archaeology remains unacceptably high.</w:t>
      </w:r>
    </w:p>
    <w:p w:rsidR="000448FB" w:rsidRPr="000448FB" w:rsidRDefault="000448FB" w:rsidP="000448FB">
      <w:pPr>
        <w:rPr>
          <w:lang w:eastAsia="en-US"/>
        </w:rPr>
      </w:pPr>
    </w:p>
    <w:p w:rsidR="000448FB" w:rsidRPr="000448FB" w:rsidRDefault="000448FB" w:rsidP="000448FB">
      <w:pPr>
        <w:rPr>
          <w:b/>
          <w:lang w:eastAsia="en-US"/>
        </w:rPr>
      </w:pPr>
      <w:r w:rsidRPr="000448FB">
        <w:rPr>
          <w:b/>
          <w:lang w:eastAsia="en-US"/>
        </w:rPr>
        <w:t>3.2</w:t>
      </w:r>
      <w:r w:rsidRPr="000448FB">
        <w:rPr>
          <w:b/>
          <w:lang w:eastAsia="en-US"/>
        </w:rPr>
        <w:tab/>
        <w:t>Ground-truthing of anomalies</w:t>
      </w:r>
    </w:p>
    <w:p w:rsidR="000448FB" w:rsidRPr="000448FB" w:rsidRDefault="000448FB" w:rsidP="000448FB">
      <w:pPr>
        <w:shd w:val="clear" w:color="auto" w:fill="FFFFFF"/>
        <w:overflowPunct w:val="0"/>
        <w:autoSpaceDE w:val="0"/>
        <w:autoSpaceDN w:val="0"/>
        <w:adjustRightInd w:val="0"/>
        <w:textAlignment w:val="baseline"/>
        <w:rPr>
          <w:rFonts w:eastAsia="Times New Roman"/>
        </w:rPr>
      </w:pPr>
      <w:r w:rsidRPr="000448FB">
        <w:rPr>
          <w:rFonts w:eastAsia="Times New Roman"/>
        </w:rPr>
        <w:t xml:space="preserve">All potential anomalies within the </w:t>
      </w:r>
      <w:r w:rsidRPr="000448FB">
        <w:rPr>
          <w:rFonts w:eastAsia="Times New Roman"/>
          <w:color w:val="0B0C0C"/>
          <w:bdr w:val="none" w:sz="0" w:space="0" w:color="auto" w:frame="1"/>
          <w:shd w:val="clear" w:color="auto" w:fill="FFFFFF"/>
        </w:rPr>
        <w:t>Refined Dredge Footprint</w:t>
      </w:r>
      <w:r w:rsidRPr="000448FB">
        <w:rPr>
          <w:rFonts w:eastAsia="Times New Roman"/>
        </w:rPr>
        <w:t xml:space="preserve"> should be ground-truthed pre-disturbance by Remote Operated Vehicles (ROVs) or by divers. It is important to realise that whatever geophysics have been carried out no-one actually knows what these objects on the seabed are. Until that question is answered suitable mitigation procedures cannot be introduced. </w:t>
      </w:r>
    </w:p>
    <w:p w:rsidR="000448FB" w:rsidRPr="000448FB" w:rsidRDefault="000448FB" w:rsidP="000448FB">
      <w:pPr>
        <w:shd w:val="clear" w:color="auto" w:fill="FFFFFF"/>
        <w:overflowPunct w:val="0"/>
        <w:autoSpaceDE w:val="0"/>
        <w:autoSpaceDN w:val="0"/>
        <w:adjustRightInd w:val="0"/>
        <w:textAlignment w:val="baseline"/>
        <w:rPr>
          <w:rFonts w:eastAsia="Times New Roman"/>
        </w:rPr>
      </w:pPr>
    </w:p>
    <w:p w:rsidR="000448FB" w:rsidRPr="000448FB" w:rsidRDefault="000448FB" w:rsidP="000448FB">
      <w:pPr>
        <w:rPr>
          <w:lang w:eastAsia="en-US"/>
        </w:rPr>
      </w:pPr>
      <w:r w:rsidRPr="000448FB">
        <w:rPr>
          <w:lang w:eastAsia="en-US"/>
        </w:rPr>
        <w:t xml:space="preserve">In the minutes of the meeting of 18 July 2017, and repeated in the RHDHV response of 10 August 2017, RHDHV say that no visual inspection of any of the anomalies was deemed necessary particularly considering the difficulties that shallow water depths, strong tidal currents and reduced visibility would pose for ROVs attempting further investigation. This position must be challenged because a season of archaeological diving and excavation jointly by HE and the Dutch heritage authorities has taken place this summer on the </w:t>
      </w:r>
      <w:r w:rsidRPr="000448FB">
        <w:rPr>
          <w:i/>
          <w:lang w:eastAsia="en-US"/>
        </w:rPr>
        <w:t>Rooswijk,</w:t>
      </w:r>
      <w:r w:rsidRPr="000448FB">
        <w:rPr>
          <w:lang w:eastAsia="en-US"/>
        </w:rPr>
        <w:t xml:space="preserve"> which is close to the dredging site, and diving frequently takes place on designated and other wrecks on the Goodwins.</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This confirms that visual underwater investigation can take place and it should be a condition of any licence, were one to be granted, that all anomalies should be ground-truthed before any dredging takes place and suitable mitigation procedures subsequently put in place.</w:t>
      </w:r>
    </w:p>
    <w:p w:rsidR="000448FB" w:rsidRPr="000448FB" w:rsidRDefault="000448FB" w:rsidP="000448FB">
      <w:pPr>
        <w:rPr>
          <w:lang w:eastAsia="en-US"/>
        </w:rPr>
      </w:pPr>
    </w:p>
    <w:p w:rsidR="000448FB" w:rsidRPr="000448FB" w:rsidRDefault="000448FB" w:rsidP="000448FB">
      <w:pPr>
        <w:rPr>
          <w:lang w:eastAsia="en-US"/>
        </w:rPr>
      </w:pPr>
      <w:r w:rsidRPr="000448FB">
        <w:rPr>
          <w:b/>
          <w:lang w:eastAsia="en-US"/>
        </w:rPr>
        <w:t>3.3</w:t>
      </w:r>
      <w:r w:rsidRPr="000448FB">
        <w:rPr>
          <w:b/>
          <w:lang w:eastAsia="en-US"/>
        </w:rPr>
        <w:tab/>
        <w:t>Precautionary Exclusion Zones (PEZ)</w:t>
      </w:r>
    </w:p>
    <w:p w:rsidR="000448FB" w:rsidRPr="000448FB" w:rsidRDefault="000448FB" w:rsidP="000448FB">
      <w:pPr>
        <w:rPr>
          <w:lang w:eastAsia="en-US"/>
        </w:rPr>
      </w:pPr>
      <w:r w:rsidRPr="000448FB">
        <w:rPr>
          <w:lang w:eastAsia="en-US"/>
        </w:rPr>
        <w:t xml:space="preserve">Minutes of the meeting of 18 July 2017 show that RHDHV is proposing a 25 m PEZ around A2 anomalies. No PEZs are proposed for the O2 anomalies and DHB proposes to dredge over 6 of them in the </w:t>
      </w:r>
      <w:r w:rsidRPr="000448FB">
        <w:rPr>
          <w:rFonts w:eastAsia="Times New Roman"/>
          <w:color w:val="0B0C0C"/>
          <w:bdr w:val="none" w:sz="0" w:space="0" w:color="auto" w:frame="1"/>
          <w:shd w:val="clear" w:color="auto" w:fill="FFFFFF"/>
        </w:rPr>
        <w:t>Refined Dredge Footprint</w:t>
      </w:r>
      <w:r w:rsidRPr="000448FB">
        <w:rPr>
          <w:lang w:eastAsia="en-US"/>
        </w:rPr>
        <w:t xml:space="preserve"> on the basis that the dredge will not impact them. We appear not to know the reasoning for 25m PEZs and this figure appears not to have been discussed or challenged.</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lastRenderedPageBreak/>
        <w:t xml:space="preserve">Wrecks protected under the Protection of Wrecks Act 1973 and the Protection of Military Remains Act 1986 usually have an exclusion zone between 70m and 300m. The recorded loss location of the </w:t>
      </w:r>
      <w:r w:rsidRPr="000448FB">
        <w:rPr>
          <w:i/>
          <w:lang w:eastAsia="en-US"/>
        </w:rPr>
        <w:t>Britannia</w:t>
      </w:r>
      <w:r w:rsidRPr="000448FB">
        <w:rPr>
          <w:lang w:eastAsia="en-US"/>
        </w:rPr>
        <w:t xml:space="preserve"> near the dredge area has an Archaeological Exclusion Zone (AEZ) of 100m. We understand that Canterbury Archaeological Trust, who are working with DHB, have advised that the exclusion zone for anomalies should be at least 50m which contrasts significantly with that of RHDHV, DHB’s main advisers.</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 xml:space="preserve">It is clear that a PEZ of 25m is unusually small compared to existing practice and on the basis that the anomalies could be part of much larger wooden vessel or aircraft structures it is clearly inadequate. </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The Goodwin Sands are subject to strong tides and winds which make precise navigation very difficult even for modern vessels. It appears unrealistic from a practical viewpoint that a trailer suction hopper dredge can guarantee to keep the dredge head in a position as precise as within 25m. The potential risk here is very large.</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It may be that RHDHV have proposed the small PEZ of 25m in order to minimise further adverse reduction and sterilisation of the proposed dredge area. This proposal is not capable of protecting potential heritage assets and we recommend that all PEZs be increased to at least 100m.</w:t>
      </w:r>
    </w:p>
    <w:p w:rsidR="000448FB" w:rsidRPr="000448FB" w:rsidRDefault="000448FB" w:rsidP="000448FB">
      <w:pPr>
        <w:rPr>
          <w:lang w:eastAsia="en-US"/>
        </w:rPr>
      </w:pPr>
    </w:p>
    <w:p w:rsidR="000448FB" w:rsidRPr="000448FB" w:rsidRDefault="000448FB" w:rsidP="000448FB">
      <w:pPr>
        <w:rPr>
          <w:b/>
          <w:lang w:eastAsia="en-US"/>
        </w:rPr>
      </w:pPr>
      <w:r w:rsidRPr="000448FB">
        <w:rPr>
          <w:b/>
          <w:lang w:eastAsia="en-US"/>
        </w:rPr>
        <w:t xml:space="preserve">3.4 </w:t>
      </w:r>
      <w:r w:rsidRPr="000448FB">
        <w:rPr>
          <w:b/>
          <w:lang w:eastAsia="en-US"/>
        </w:rPr>
        <w:tab/>
        <w:t>Consideration of Anomalies</w:t>
      </w:r>
    </w:p>
    <w:p w:rsidR="000448FB" w:rsidRPr="000448FB" w:rsidRDefault="000448FB" w:rsidP="000448FB">
      <w:pPr>
        <w:rPr>
          <w:lang w:eastAsia="en-US"/>
        </w:rPr>
      </w:pPr>
      <w:r w:rsidRPr="000448FB">
        <w:rPr>
          <w:lang w:eastAsia="en-US"/>
        </w:rPr>
        <w:t xml:space="preserve">In their Archaeological Review of Geophysical Data (July 2017) Wessex Archaeology (WA) have produced a detailed analysis of the anomalies within the 2016 proposed dredging area plus a 250m buffer zone. The locations of the anomalies are shown on Figures 1-2g and it is clear that a considerable number of these (about 135) lie within the original dredging area. As a result RHDHV and DHB have been obliged to reduce the dredging area to the </w:t>
      </w:r>
      <w:r w:rsidRPr="000448FB">
        <w:rPr>
          <w:rFonts w:eastAsia="Times New Roman"/>
          <w:color w:val="0B0C0C"/>
          <w:bdr w:val="none" w:sz="0" w:space="0" w:color="auto" w:frame="1"/>
          <w:shd w:val="clear" w:color="auto" w:fill="FFFFFF"/>
        </w:rPr>
        <w:t xml:space="preserve">Refined Dredge Footprint. However because this has reduced the sand area by up to 50% for much of the middle and lower dredging area, </w:t>
      </w:r>
      <w:r w:rsidRPr="000448FB">
        <w:rPr>
          <w:lang w:eastAsia="en-US"/>
        </w:rPr>
        <w:t xml:space="preserve">RHDHV and DHB have extended the boundary of this area to the east to gain more sand and unfortunately this now incorporates 6 O2 anomalies (7311, 7313, 7314, 7315, 7316, 7317) which have no PEZ and which DHB plans to dredge over. </w:t>
      </w:r>
    </w:p>
    <w:p w:rsidR="000448FB" w:rsidRPr="000448FB" w:rsidRDefault="000448FB" w:rsidP="000448FB">
      <w:pPr>
        <w:spacing w:before="240"/>
        <w:rPr>
          <w:lang w:eastAsia="en-US"/>
        </w:rPr>
      </w:pPr>
      <w:r w:rsidRPr="000448FB">
        <w:rPr>
          <w:rFonts w:eastAsia="Times New Roman"/>
          <w:color w:val="0B0C0C"/>
          <w:bdr w:val="none" w:sz="0" w:space="0" w:color="auto" w:frame="1"/>
          <w:shd w:val="clear" w:color="auto" w:fill="FFFFFF"/>
        </w:rPr>
        <w:t xml:space="preserve">In their Appendix to the </w:t>
      </w:r>
      <w:r w:rsidRPr="000448FB">
        <w:rPr>
          <w:lang w:eastAsia="en-US"/>
        </w:rPr>
        <w:t xml:space="preserve">Archaeological Review of Geophysical Data (August 2017), WA have analysed the remaining 29 anomalies which may be archaeological objects within the </w:t>
      </w:r>
      <w:r w:rsidRPr="000448FB">
        <w:rPr>
          <w:rFonts w:eastAsia="Times New Roman"/>
          <w:color w:val="0B0C0C"/>
          <w:bdr w:val="none" w:sz="0" w:space="0" w:color="auto" w:frame="1"/>
          <w:shd w:val="clear" w:color="auto" w:fill="FFFFFF"/>
        </w:rPr>
        <w:t>Refined Dredge Footprint</w:t>
      </w:r>
      <w:r w:rsidRPr="000448FB">
        <w:rPr>
          <w:lang w:eastAsia="en-US"/>
        </w:rPr>
        <w:t>. RHDHV is proposing a 25m PEZ around the 23 A2 anomalies but not on the 6 O2s.</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Goodwin Sands SOS arranged with DHB to have access to the original geophysical data and the anomalies within the</w:t>
      </w:r>
      <w:r w:rsidRPr="000448FB">
        <w:rPr>
          <w:rFonts w:eastAsia="Times New Roman"/>
          <w:color w:val="0B0C0C"/>
          <w:bdr w:val="none" w:sz="0" w:space="0" w:color="auto" w:frame="1"/>
          <w:shd w:val="clear" w:color="auto" w:fill="FFFFFF"/>
        </w:rPr>
        <w:t xml:space="preserve"> Refined Dredge Footprint</w:t>
      </w:r>
      <w:r w:rsidRPr="000448FB">
        <w:rPr>
          <w:lang w:eastAsia="en-US"/>
        </w:rPr>
        <w:t xml:space="preserve"> have been independently analysed by 3H Consulting Ltd. (3H). Their report is attached. 3H concur with the majority of the WA’s conclusions but there are some differences of interpretation of the data as follows: </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1</w:t>
      </w:r>
      <w:r w:rsidRPr="000448FB">
        <w:rPr>
          <w:lang w:eastAsia="en-US"/>
        </w:rPr>
        <w:tab/>
        <w:t>3H believe that all the anomalies that WA interpret as “Probably an object or may be natural” are very unlikely to be natural because geological magnetic features are never small and distinct like the objects listed – 7028, 7029, 7031, 7037, 7041, 7042, 7043.</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2</w:t>
      </w:r>
      <w:r w:rsidRPr="000448FB">
        <w:rPr>
          <w:lang w:eastAsia="en-US"/>
        </w:rPr>
        <w:tab/>
        <w:t>3H has calculated the potential mass of each ferrous target which is helpful in assessing potential importance.</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3</w:t>
      </w:r>
      <w:r w:rsidRPr="000448FB">
        <w:rPr>
          <w:lang w:eastAsia="en-US"/>
        </w:rPr>
        <w:tab/>
        <w:t>Anomaly 7028 (including Clinton anomalies 2017009-2 and 2017009-2789) appears to be a debris field covering 150m x 90m. Greater importance should be attributed to it and a 100m PEZ should be imposed.</w:t>
      </w:r>
      <w:r w:rsidRPr="000448FB">
        <w:rPr>
          <w:lang w:eastAsia="en-US"/>
        </w:rPr>
        <w:br/>
      </w:r>
    </w:p>
    <w:p w:rsidR="000448FB" w:rsidRPr="000448FB" w:rsidRDefault="000448FB" w:rsidP="000448FB">
      <w:pPr>
        <w:rPr>
          <w:lang w:eastAsia="en-US"/>
        </w:rPr>
      </w:pPr>
      <w:r w:rsidRPr="000448FB">
        <w:rPr>
          <w:lang w:eastAsia="en-US"/>
        </w:rPr>
        <w:lastRenderedPageBreak/>
        <w:t>4</w:t>
      </w:r>
      <w:r w:rsidRPr="000448FB">
        <w:rPr>
          <w:lang w:eastAsia="en-US"/>
        </w:rPr>
        <w:tab/>
        <w:t>Anomaly 7036 (including Clinton anomaly 2017009-2495) appears to be a debris field covering 200m x 50m. Greater importance should be attributed to it and a 100m PEZ should be imposed.</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5</w:t>
      </w:r>
      <w:r w:rsidRPr="000448FB">
        <w:rPr>
          <w:lang w:eastAsia="en-US"/>
        </w:rPr>
        <w:tab/>
        <w:t xml:space="preserve">Anomaly 7037 is surrounded by magnetic disturbance covering an area 75m x50m and may be a debris field associated with 7309 and the 7311 cluster (see below). Greater importance should be attributed to it and a 100m PEZ should be imposed. </w:t>
      </w:r>
      <w:r w:rsidRPr="000448FB">
        <w:rPr>
          <w:lang w:eastAsia="en-US"/>
        </w:rPr>
        <w:br/>
      </w:r>
    </w:p>
    <w:p w:rsidR="000448FB" w:rsidRPr="000448FB" w:rsidRDefault="000448FB" w:rsidP="000448FB">
      <w:pPr>
        <w:rPr>
          <w:lang w:eastAsia="en-US"/>
        </w:rPr>
      </w:pPr>
      <w:r w:rsidRPr="000448FB">
        <w:rPr>
          <w:lang w:eastAsia="en-US"/>
        </w:rPr>
        <w:t>6</w:t>
      </w:r>
      <w:r w:rsidRPr="000448FB">
        <w:rPr>
          <w:lang w:eastAsia="en-US"/>
        </w:rPr>
        <w:tab/>
        <w:t>Anomaly 7041 (including Clinton anomaly 2017009-1918) is multiple small targets which appears to form a debris field covering 30m x 50m surrounding a100-1000kg ferrous object. Greater importance should be attributed to it and a 100m PEZ should be imposed.</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7</w:t>
      </w:r>
      <w:r w:rsidRPr="000448FB">
        <w:rPr>
          <w:lang w:eastAsia="en-US"/>
        </w:rPr>
        <w:tab/>
        <w:t xml:space="preserve">Anomalies 7311 - 7317 form a cluster of O2 targets (below the 2.5m sand limit for dredging) 250m long and 70m wide. Detected on the sub bottom profiler these appear to be non-ferrous and have no magnetic signature.  The area of the targets is very different from the rest of the survey area and the targets are in a group which is comparatively small which suggests that this could possibly be the remains of a shipwreck or aircraft crash site. Greater importance should be attributed to this cluster and a 100m PEZ should be imposed around it. </w:t>
      </w:r>
    </w:p>
    <w:p w:rsidR="000448FB" w:rsidRPr="000448FB" w:rsidRDefault="000448FB" w:rsidP="000448FB">
      <w:pPr>
        <w:rPr>
          <w:lang w:eastAsia="en-US"/>
        </w:rPr>
      </w:pPr>
    </w:p>
    <w:p w:rsidR="000448FB" w:rsidRPr="000448FB" w:rsidRDefault="000448FB" w:rsidP="000448FB">
      <w:pPr>
        <w:autoSpaceDE w:val="0"/>
        <w:autoSpaceDN w:val="0"/>
        <w:adjustRightInd w:val="0"/>
        <w:rPr>
          <w:rFonts w:eastAsia="Times New Roman"/>
          <w:bCs/>
        </w:rPr>
      </w:pPr>
      <w:r w:rsidRPr="000448FB">
        <w:rPr>
          <w:lang w:eastAsia="en-US"/>
        </w:rPr>
        <w:t>These sites have been classified as below the dredge level, no PEZ has been proposed and DHB proposes to dredge over them. 3H have reported that t</w:t>
      </w:r>
      <w:r w:rsidRPr="000448FB">
        <w:rPr>
          <w:rFonts w:eastAsia="Times New Roman"/>
        </w:rPr>
        <w:t xml:space="preserve">he sub-bottom profiler will only detect objects if they are large enough and sufficiently </w:t>
      </w:r>
      <w:proofErr w:type="gramStart"/>
      <w:r w:rsidRPr="000448FB">
        <w:rPr>
          <w:rFonts w:eastAsia="Times New Roman"/>
        </w:rPr>
        <w:t>dense,</w:t>
      </w:r>
      <w:proofErr w:type="gramEnd"/>
      <w:r w:rsidRPr="000448FB">
        <w:rPr>
          <w:rFonts w:eastAsia="Times New Roman"/>
        </w:rPr>
        <w:t xml:space="preserve"> and smaller objects will be missed. Here the sub-bottom profiler has only detected a few larger objects and there is a strong possibility that they are associated with smaller but undetectable buried objects nearer the surface that would be i</w:t>
      </w:r>
      <w:r w:rsidRPr="000448FB">
        <w:rPr>
          <w:rFonts w:eastAsia="Times New Roman"/>
          <w:bCs/>
        </w:rPr>
        <w:t>mpacted if dredging was allowed.</w:t>
      </w:r>
    </w:p>
    <w:p w:rsidR="000448FB" w:rsidRPr="000448FB" w:rsidRDefault="000448FB" w:rsidP="000448FB">
      <w:pPr>
        <w:autoSpaceDE w:val="0"/>
        <w:autoSpaceDN w:val="0"/>
        <w:adjustRightInd w:val="0"/>
        <w:rPr>
          <w:rFonts w:eastAsia="Times New Roman"/>
          <w:bCs/>
        </w:rPr>
      </w:pPr>
    </w:p>
    <w:p w:rsidR="000448FB" w:rsidRPr="000448FB" w:rsidRDefault="000448FB" w:rsidP="000448FB">
      <w:pPr>
        <w:autoSpaceDE w:val="0"/>
        <w:autoSpaceDN w:val="0"/>
        <w:adjustRightInd w:val="0"/>
        <w:rPr>
          <w:rFonts w:eastAsia="Times New Roman"/>
          <w:bCs/>
        </w:rPr>
      </w:pPr>
      <w:r w:rsidRPr="000448FB">
        <w:rPr>
          <w:rFonts w:eastAsia="Times New Roman"/>
          <w:bCs/>
        </w:rPr>
        <w:t>3H recommends that this cluster of anomalies is significant and should be placed within an appropriate exclusion zone. On the basis of the precautionary principle this recommendation should be adopted.</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8</w:t>
      </w:r>
      <w:r w:rsidRPr="000448FB">
        <w:rPr>
          <w:lang w:eastAsia="en-US"/>
        </w:rPr>
        <w:tab/>
        <w:t>3H give a summary of the limitations of geophysical remote sensing which helps us to understand what may or may not be found:</w:t>
      </w:r>
    </w:p>
    <w:p w:rsidR="000448FB" w:rsidRPr="000448FB" w:rsidRDefault="000448FB" w:rsidP="000448FB">
      <w:pPr>
        <w:rPr>
          <w:lang w:eastAsia="en-US"/>
        </w:rPr>
      </w:pPr>
    </w:p>
    <w:p w:rsidR="000448FB" w:rsidRPr="000448FB" w:rsidRDefault="000448FB" w:rsidP="000448FB">
      <w:pPr>
        <w:autoSpaceDE w:val="0"/>
        <w:autoSpaceDN w:val="0"/>
        <w:adjustRightInd w:val="0"/>
        <w:rPr>
          <w:rFonts w:eastAsia="Times New Roman"/>
          <w:i/>
        </w:rPr>
      </w:pPr>
      <w:r w:rsidRPr="000448FB">
        <w:rPr>
          <w:rFonts w:eastAsia="Times New Roman"/>
          <w:i/>
        </w:rPr>
        <w:t>Wooden shipwrecks on the Goodwin Sands become eroded away unless quickly buried. The buried remains cannot be seen using a side scan sonar or multibeam sonar as they only detect anomalies visible on the seabed. A magnetometer will only detect iron or steel so the wood of the ship will be invisible unless it is held together with a large mass of iron fixings. In theory, a sub-bottom profiler may be able to detect the hull of wooden ship but under the conditions on this site these hulls are all but invisible and it is only their hard ballast or cargo that can be detected.</w:t>
      </w:r>
    </w:p>
    <w:p w:rsidR="000448FB" w:rsidRPr="000448FB" w:rsidRDefault="000448FB" w:rsidP="000448FB">
      <w:pPr>
        <w:autoSpaceDE w:val="0"/>
        <w:autoSpaceDN w:val="0"/>
        <w:adjustRightInd w:val="0"/>
        <w:rPr>
          <w:rFonts w:eastAsia="Times New Roman"/>
          <w:i/>
        </w:rPr>
      </w:pPr>
    </w:p>
    <w:p w:rsidR="000448FB" w:rsidRPr="000448FB" w:rsidRDefault="000448FB" w:rsidP="000448FB">
      <w:pPr>
        <w:autoSpaceDE w:val="0"/>
        <w:autoSpaceDN w:val="0"/>
        <w:adjustRightInd w:val="0"/>
        <w:rPr>
          <w:rFonts w:eastAsia="Times New Roman"/>
          <w:i/>
        </w:rPr>
      </w:pPr>
      <w:r w:rsidRPr="000448FB">
        <w:rPr>
          <w:rFonts w:eastAsia="Times New Roman"/>
          <w:i/>
        </w:rPr>
        <w:t xml:space="preserve">Aircraft airframes are usually made of wood or aluminium which quickly corrodes and erodes away unless they become buried. The hard parts of the aircraft may survive such as the engine, propeller and wheel struts along with a scatter of smaller metal parts. </w:t>
      </w:r>
      <w:proofErr w:type="gramStart"/>
      <w:r w:rsidRPr="000448FB">
        <w:rPr>
          <w:rFonts w:eastAsia="Times New Roman"/>
          <w:i/>
        </w:rPr>
        <w:t>A side</w:t>
      </w:r>
      <w:proofErr w:type="gramEnd"/>
      <w:r w:rsidRPr="000448FB">
        <w:rPr>
          <w:rFonts w:eastAsia="Times New Roman"/>
          <w:i/>
        </w:rPr>
        <w:t xml:space="preserve"> scan sonar may see the remains of a crashed aircraft if it is lying on the seabed but not if wholly or partly buried. The engine may be detectable with a magnetometer so long as the sensor passes close enough to detect the minimal amount of steel used in the cylinder linings and crank shafts; unfortunately, most aero engines are made from non-magnetic aluminium alloy. A sub-bottom profiler is no use in this case as they can only detect objects larger than an aircraft engine under the conditions found on this survey.</w:t>
      </w:r>
    </w:p>
    <w:p w:rsidR="000448FB" w:rsidRPr="000448FB" w:rsidRDefault="000448FB" w:rsidP="000448FB">
      <w:pPr>
        <w:autoSpaceDE w:val="0"/>
        <w:autoSpaceDN w:val="0"/>
        <w:adjustRightInd w:val="0"/>
        <w:rPr>
          <w:rFonts w:eastAsia="Times New Roman"/>
        </w:rPr>
      </w:pPr>
    </w:p>
    <w:p w:rsidR="000448FB" w:rsidRPr="000448FB" w:rsidRDefault="000448FB" w:rsidP="000448FB">
      <w:pPr>
        <w:autoSpaceDE w:val="0"/>
        <w:autoSpaceDN w:val="0"/>
        <w:adjustRightInd w:val="0"/>
        <w:rPr>
          <w:rFonts w:eastAsia="Times New Roman"/>
          <w:color w:val="0B0C0C"/>
          <w:bdr w:val="none" w:sz="0" w:space="0" w:color="auto" w:frame="1"/>
          <w:shd w:val="clear" w:color="auto" w:fill="FFFFFF"/>
        </w:rPr>
      </w:pPr>
      <w:r w:rsidRPr="000448FB">
        <w:rPr>
          <w:lang w:eastAsia="en-US"/>
        </w:rPr>
        <w:t xml:space="preserve">This summary reinforces the statement above that we do not know what is on or under the sand and it is quite possible that there are the remains of historic wooden wrecks and the aluminium remains </w:t>
      </w:r>
      <w:r w:rsidRPr="000448FB">
        <w:rPr>
          <w:lang w:eastAsia="en-US"/>
        </w:rPr>
        <w:lastRenderedPageBreak/>
        <w:t xml:space="preserve">of Second World War aircraft in the </w:t>
      </w:r>
      <w:r w:rsidRPr="000448FB">
        <w:rPr>
          <w:rFonts w:eastAsia="Times New Roman"/>
          <w:color w:val="0B0C0C"/>
          <w:bdr w:val="none" w:sz="0" w:space="0" w:color="auto" w:frame="1"/>
          <w:shd w:val="clear" w:color="auto" w:fill="FFFFFF"/>
        </w:rPr>
        <w:t>Refined Dredge Footprint,</w:t>
      </w:r>
      <w:r w:rsidRPr="000448FB">
        <w:rPr>
          <w:lang w:eastAsia="en-US"/>
        </w:rPr>
        <w:t xml:space="preserve"> which have not been identified by the surveys. It is even possible that the remains of the </w:t>
      </w:r>
      <w:r w:rsidRPr="000448FB">
        <w:rPr>
          <w:i/>
          <w:lang w:eastAsia="en-US"/>
        </w:rPr>
        <w:t>Brittania</w:t>
      </w:r>
      <w:r w:rsidRPr="000448FB">
        <w:rPr>
          <w:lang w:eastAsia="en-US"/>
        </w:rPr>
        <w:t xml:space="preserve"> lie within the </w:t>
      </w:r>
      <w:r w:rsidRPr="000448FB">
        <w:rPr>
          <w:rFonts w:eastAsia="Times New Roman"/>
          <w:color w:val="0B0C0C"/>
          <w:bdr w:val="none" w:sz="0" w:space="0" w:color="auto" w:frame="1"/>
          <w:shd w:val="clear" w:color="auto" w:fill="FFFFFF"/>
        </w:rPr>
        <w:t>Refined Dredge Footprint.</w:t>
      </w:r>
    </w:p>
    <w:p w:rsidR="000448FB" w:rsidRPr="000448FB" w:rsidRDefault="000448FB" w:rsidP="000448FB">
      <w:pPr>
        <w:autoSpaceDE w:val="0"/>
        <w:autoSpaceDN w:val="0"/>
        <w:adjustRightInd w:val="0"/>
        <w:rPr>
          <w:rFonts w:eastAsia="Times New Roman"/>
          <w:color w:val="0B0C0C"/>
          <w:bdr w:val="none" w:sz="0" w:space="0" w:color="auto" w:frame="1"/>
          <w:shd w:val="clear" w:color="auto" w:fill="FFFFFF"/>
        </w:rPr>
      </w:pPr>
    </w:p>
    <w:p w:rsidR="000448FB" w:rsidRPr="000448FB" w:rsidRDefault="000448FB" w:rsidP="000448FB">
      <w:pPr>
        <w:autoSpaceDE w:val="0"/>
        <w:autoSpaceDN w:val="0"/>
        <w:adjustRightInd w:val="0"/>
        <w:rPr>
          <w:lang w:eastAsia="en-US"/>
        </w:rPr>
      </w:pPr>
      <w:r w:rsidRPr="000448FB">
        <w:rPr>
          <w:rFonts w:eastAsia="Times New Roman"/>
          <w:color w:val="0B0C0C"/>
          <w:bdr w:val="none" w:sz="0" w:space="0" w:color="auto" w:frame="1"/>
          <w:shd w:val="clear" w:color="auto" w:fill="FFFFFF"/>
        </w:rPr>
        <w:t>On the precautionary principle, therefore, no marine licence should be granted.</w:t>
      </w:r>
    </w:p>
    <w:p w:rsidR="000448FB" w:rsidRPr="000448FB" w:rsidRDefault="000448FB" w:rsidP="000448FB">
      <w:pPr>
        <w:rPr>
          <w:lang w:eastAsia="en-US"/>
        </w:rPr>
      </w:pPr>
    </w:p>
    <w:p w:rsidR="000448FB" w:rsidRPr="000448FB" w:rsidRDefault="000448FB" w:rsidP="000448FB">
      <w:pPr>
        <w:rPr>
          <w:b/>
          <w:lang w:eastAsia="en-US"/>
        </w:rPr>
      </w:pPr>
      <w:r w:rsidRPr="000448FB">
        <w:rPr>
          <w:b/>
          <w:lang w:eastAsia="en-US"/>
        </w:rPr>
        <w:t>3.5</w:t>
      </w:r>
      <w:r w:rsidRPr="000448FB">
        <w:rPr>
          <w:b/>
          <w:lang w:eastAsia="en-US"/>
        </w:rPr>
        <w:tab/>
        <w:t>Mitigation</w:t>
      </w:r>
    </w:p>
    <w:p w:rsidR="000448FB" w:rsidRPr="000448FB" w:rsidRDefault="000448FB" w:rsidP="000448FB">
      <w:pPr>
        <w:rPr>
          <w:lang w:eastAsia="en-US"/>
        </w:rPr>
      </w:pPr>
      <w:r w:rsidRPr="000448FB">
        <w:rPr>
          <w:lang w:eastAsia="en-US"/>
        </w:rPr>
        <w:t xml:space="preserve">RHDHV and DHB have agreed that on-board monitoring will be through a specially trained archaeological observer. We believe that there should be two suitably qualified archaeologists on board at all times as recommended by the Canterbury Archaeological Trust who </w:t>
      </w:r>
      <w:proofErr w:type="gramStart"/>
      <w:r w:rsidRPr="000448FB">
        <w:rPr>
          <w:lang w:eastAsia="en-US"/>
        </w:rPr>
        <w:t>are</w:t>
      </w:r>
      <w:proofErr w:type="gramEnd"/>
      <w:r w:rsidRPr="000448FB">
        <w:rPr>
          <w:lang w:eastAsia="en-US"/>
        </w:rPr>
        <w:t xml:space="preserve"> advising DHB. Should the dredger impact any archaeological remains all dredging should cease immediately until the anomaly has been ground-truthed, its extent verified and suitable mitigation </w:t>
      </w:r>
      <w:proofErr w:type="gramStart"/>
      <w:r w:rsidRPr="000448FB">
        <w:rPr>
          <w:lang w:eastAsia="en-US"/>
        </w:rPr>
        <w:t>arranged.</w:t>
      </w:r>
      <w:proofErr w:type="gramEnd"/>
    </w:p>
    <w:p w:rsidR="000448FB" w:rsidRPr="000448FB" w:rsidRDefault="000448FB" w:rsidP="000448FB">
      <w:pPr>
        <w:rPr>
          <w:lang w:eastAsia="en-US"/>
        </w:rPr>
      </w:pPr>
    </w:p>
    <w:p w:rsidR="000448FB" w:rsidRPr="000448FB" w:rsidRDefault="000448FB" w:rsidP="000448FB">
      <w:pPr>
        <w:rPr>
          <w:b/>
          <w:lang w:eastAsia="en-US"/>
        </w:rPr>
      </w:pPr>
      <w:r w:rsidRPr="000448FB">
        <w:rPr>
          <w:b/>
          <w:lang w:eastAsia="en-US"/>
        </w:rPr>
        <w:t>3.6</w:t>
      </w:r>
      <w:r w:rsidRPr="000448FB">
        <w:rPr>
          <w:b/>
          <w:lang w:eastAsia="en-US"/>
        </w:rPr>
        <w:tab/>
        <w:t>Mobile sediment</w:t>
      </w:r>
    </w:p>
    <w:p w:rsidR="000448FB" w:rsidRPr="000448FB" w:rsidRDefault="000448FB" w:rsidP="000448FB">
      <w:pPr>
        <w:rPr>
          <w:lang w:eastAsia="en-US"/>
        </w:rPr>
      </w:pPr>
      <w:r w:rsidRPr="000448FB">
        <w:rPr>
          <w:lang w:eastAsia="en-US"/>
        </w:rPr>
        <w:t xml:space="preserve">The recent investigations show that there have been considerable movements of sand over a relatively short time period. The comparison of bathymetric data from the 2015 and 2017 surveys show that: </w:t>
      </w:r>
    </w:p>
    <w:p w:rsidR="000448FB" w:rsidRPr="000448FB" w:rsidRDefault="000448FB" w:rsidP="000448FB">
      <w:pPr>
        <w:rPr>
          <w:lang w:eastAsia="en-US"/>
        </w:rPr>
      </w:pPr>
    </w:p>
    <w:p w:rsidR="000448FB" w:rsidRPr="000448FB" w:rsidRDefault="000448FB" w:rsidP="000448FB">
      <w:pPr>
        <w:numPr>
          <w:ilvl w:val="0"/>
          <w:numId w:val="2"/>
        </w:numPr>
        <w:overflowPunct w:val="0"/>
        <w:autoSpaceDE w:val="0"/>
        <w:autoSpaceDN w:val="0"/>
        <w:adjustRightInd w:val="0"/>
        <w:contextualSpacing/>
        <w:textAlignment w:val="baseline"/>
        <w:rPr>
          <w:lang w:eastAsia="en-US"/>
        </w:rPr>
      </w:pPr>
      <w:r w:rsidRPr="000448FB">
        <w:rPr>
          <w:lang w:eastAsia="en-US"/>
        </w:rPr>
        <w:t xml:space="preserve">the edge of the central and southern portion of the sandbank has moved in excess of 70m to the east </w:t>
      </w:r>
      <w:r w:rsidRPr="000448FB">
        <w:rPr>
          <w:lang w:eastAsia="en-US"/>
        </w:rPr>
        <w:br/>
      </w:r>
    </w:p>
    <w:p w:rsidR="000448FB" w:rsidRPr="000448FB" w:rsidRDefault="000448FB" w:rsidP="000448FB">
      <w:pPr>
        <w:rPr>
          <w:lang w:eastAsia="en-US"/>
        </w:rPr>
      </w:pPr>
      <w:r w:rsidRPr="000448FB">
        <w:rPr>
          <w:lang w:eastAsia="en-US"/>
        </w:rPr>
        <w:t xml:space="preserve">(b) </w:t>
      </w:r>
      <w:proofErr w:type="gramStart"/>
      <w:r w:rsidRPr="000448FB">
        <w:rPr>
          <w:lang w:eastAsia="en-US"/>
        </w:rPr>
        <w:t>the</w:t>
      </w:r>
      <w:proofErr w:type="gramEnd"/>
      <w:r w:rsidRPr="000448FB">
        <w:rPr>
          <w:lang w:eastAsia="en-US"/>
        </w:rPr>
        <w:t xml:space="preserve"> northern edge of the bank has shifted westwards into the proposed dredge area </w:t>
      </w:r>
      <w:r w:rsidRPr="000448FB">
        <w:rPr>
          <w:lang w:eastAsia="en-US"/>
        </w:rPr>
        <w:br/>
      </w:r>
    </w:p>
    <w:p w:rsidR="000448FB" w:rsidRPr="000448FB" w:rsidRDefault="000448FB" w:rsidP="000448FB">
      <w:pPr>
        <w:rPr>
          <w:lang w:eastAsia="en-US"/>
        </w:rPr>
      </w:pPr>
      <w:r w:rsidRPr="000448FB">
        <w:rPr>
          <w:lang w:eastAsia="en-US"/>
        </w:rPr>
        <w:t xml:space="preserve">(c) </w:t>
      </w:r>
      <w:proofErr w:type="gramStart"/>
      <w:r w:rsidRPr="000448FB">
        <w:rPr>
          <w:lang w:eastAsia="en-US"/>
        </w:rPr>
        <w:t>sand</w:t>
      </w:r>
      <w:proofErr w:type="gramEnd"/>
      <w:r w:rsidRPr="000448FB">
        <w:rPr>
          <w:lang w:eastAsia="en-US"/>
        </w:rPr>
        <w:t xml:space="preserve"> level within parts of the northern area has risen by as much as 10m. </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 xml:space="preserve">This indicates that the archaeological conclusions drawn from the depth of sand in the recent geophysical surveys may well be incorrect by the time the area comes to be dredged. This could mean that further anomalies have been exposed which could materially affect the proposed dredging area. It is important therefore that the area is re-surveyed at the time any dredging takes place. </w:t>
      </w:r>
    </w:p>
    <w:p w:rsidR="000448FB" w:rsidRPr="000448FB" w:rsidRDefault="000448FB" w:rsidP="000448FB">
      <w:pPr>
        <w:rPr>
          <w:lang w:eastAsia="en-US"/>
        </w:rPr>
      </w:pPr>
    </w:p>
    <w:p w:rsidR="000448FB" w:rsidRPr="000448FB" w:rsidRDefault="000448FB" w:rsidP="000448FB">
      <w:pPr>
        <w:rPr>
          <w:b/>
          <w:lang w:eastAsia="en-US"/>
        </w:rPr>
      </w:pPr>
      <w:r w:rsidRPr="000448FB">
        <w:rPr>
          <w:b/>
          <w:lang w:eastAsia="en-US"/>
        </w:rPr>
        <w:t>3.7</w:t>
      </w:r>
      <w:r w:rsidRPr="000448FB">
        <w:rPr>
          <w:b/>
          <w:lang w:eastAsia="en-US"/>
        </w:rPr>
        <w:tab/>
        <w:t>Alternative sources of aggregate</w:t>
      </w:r>
    </w:p>
    <w:p w:rsidR="000448FB" w:rsidRPr="000448FB" w:rsidRDefault="000448FB" w:rsidP="000448FB">
      <w:pPr>
        <w:rPr>
          <w:lang w:eastAsia="en-US"/>
        </w:rPr>
      </w:pPr>
      <w:r w:rsidRPr="000448FB">
        <w:rPr>
          <w:lang w:eastAsia="en-US"/>
        </w:rPr>
        <w:t>DHB have contracted to source 1.2 million m³ of aggregate from an alternative source in the Thames estuary for the first phase of works from September 2017 to March 2018. If the Goodwin Sands licence is successful before completion of this phase of works DHB will switch to using the Goodwin Sands as this is a more economic option. A further 1.2 million m³ of aggregate is required in 2019. These aggregate volumes have been taken from the minutes of the meeting of 18 July 2017 but different volumes have been quoted elsewhere.</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It is therefore quite clear that DHB has concluded that the alternative aggregate source is a financially viable solution for 1.2 million m³ of aggregate for the whole of the first part of the project since they cannot guarantee receipt of a licence for the Goodwins before March 2018, or at all. When asked about the amount of financial contingency they have for the project DHB refused to disclose it claiming commercial confidentiality. However we can be sure that if the contingency reserve had been insufficient DHB would have used this as a lever to gain a licence for the Goodwin Sands. It is therefore very reasonable to assume that DHB has a sufficient contingency reserve to cover any increased cost of using the alternative source of aggregate for the whole project.</w:t>
      </w:r>
    </w:p>
    <w:p w:rsidR="000448FB" w:rsidRPr="000448FB" w:rsidRDefault="000448FB" w:rsidP="000448FB">
      <w:pPr>
        <w:rPr>
          <w:lang w:eastAsia="en-US"/>
        </w:rPr>
      </w:pPr>
    </w:p>
    <w:p w:rsidR="000448FB" w:rsidRPr="000448FB" w:rsidRDefault="000448FB" w:rsidP="000448FB">
      <w:pPr>
        <w:rPr>
          <w:lang w:eastAsia="en-US"/>
        </w:rPr>
      </w:pPr>
      <w:r w:rsidRPr="000448FB">
        <w:rPr>
          <w:lang w:eastAsia="en-US"/>
        </w:rPr>
        <w:t>DHB would appear to have a financially viable alternative source of aggregate and so it is not necessary to issue a marine licence for the Goodwin Sands.</w:t>
      </w:r>
    </w:p>
    <w:p w:rsidR="000448FB" w:rsidRPr="000448FB" w:rsidRDefault="000448FB" w:rsidP="000448FB">
      <w:pPr>
        <w:rPr>
          <w:b/>
          <w:lang w:eastAsia="en-US"/>
        </w:rPr>
      </w:pPr>
    </w:p>
    <w:p w:rsidR="000448FB" w:rsidRPr="000448FB" w:rsidRDefault="000448FB" w:rsidP="000448FB">
      <w:pPr>
        <w:rPr>
          <w:lang w:eastAsia="en-US"/>
        </w:rPr>
      </w:pPr>
      <w:r w:rsidRPr="000448FB">
        <w:rPr>
          <w:b/>
          <w:lang w:eastAsia="en-US"/>
        </w:rPr>
        <w:lastRenderedPageBreak/>
        <w:t>3.8</w:t>
      </w:r>
      <w:r w:rsidRPr="000448FB">
        <w:rPr>
          <w:b/>
          <w:lang w:eastAsia="en-US"/>
        </w:rPr>
        <w:tab/>
        <w:t>The Science</w:t>
      </w:r>
      <w:r w:rsidRPr="000448FB">
        <w:rPr>
          <w:lang w:eastAsia="en-US"/>
        </w:rPr>
        <w:br/>
      </w:r>
      <w:proofErr w:type="gramStart"/>
      <w:r w:rsidRPr="000448FB">
        <w:rPr>
          <w:lang w:eastAsia="en-US"/>
        </w:rPr>
        <w:t>In</w:t>
      </w:r>
      <w:proofErr w:type="gramEnd"/>
      <w:r w:rsidRPr="000448FB">
        <w:rPr>
          <w:lang w:eastAsia="en-US"/>
        </w:rPr>
        <w:t xml:space="preserve"> 2016 RHDHV were confident that it was unlikely that there would be heritage assets within the proposed dredging area and thus dredging had a low probability of adversely impacting heritage assets. However RHDHV failed to recommend to DHB to carry out a magnetometer survey in order to ensure a comprehensive archaeological analysis of the area. At the eventual insistence of Historic England a magnetometer survey was carried out in early 2017 and this revealed 315 possible archaeological anomalies in the proposed dredging area and its buffer zone. A large proportion of these anomalies (about 135) were in the original proposed dredging area where RHDHV had predicted there would be none. </w:t>
      </w:r>
    </w:p>
    <w:p w:rsidR="000448FB" w:rsidRPr="000448FB" w:rsidRDefault="000448FB" w:rsidP="000448FB">
      <w:pPr>
        <w:rPr>
          <w:lang w:eastAsia="en-US"/>
        </w:rPr>
      </w:pPr>
      <w:r w:rsidRPr="000448FB">
        <w:rPr>
          <w:lang w:eastAsia="en-US"/>
        </w:rPr>
        <w:br/>
        <w:t>RHDHV has already been shown to be incorrect and this does not instil confidence in their new assessment. It is therefore questionable whether RHDHV’s science is safe and whether their recommendations can be relied upon.</w:t>
      </w:r>
    </w:p>
    <w:p w:rsidR="000448FB" w:rsidRPr="000448FB" w:rsidRDefault="000448FB" w:rsidP="000448FB">
      <w:pPr>
        <w:autoSpaceDE w:val="0"/>
        <w:autoSpaceDN w:val="0"/>
        <w:adjustRightInd w:val="0"/>
        <w:rPr>
          <w:b/>
          <w:lang w:eastAsia="en-US"/>
        </w:rPr>
      </w:pPr>
    </w:p>
    <w:p w:rsidR="000448FB" w:rsidRPr="000448FB" w:rsidRDefault="000448FB" w:rsidP="000448FB">
      <w:pPr>
        <w:autoSpaceDE w:val="0"/>
        <w:autoSpaceDN w:val="0"/>
        <w:adjustRightInd w:val="0"/>
        <w:rPr>
          <w:b/>
          <w:lang w:eastAsia="en-US"/>
        </w:rPr>
      </w:pPr>
    </w:p>
    <w:p w:rsidR="000448FB" w:rsidRPr="000448FB" w:rsidRDefault="000448FB" w:rsidP="000448FB">
      <w:pPr>
        <w:autoSpaceDE w:val="0"/>
        <w:autoSpaceDN w:val="0"/>
        <w:adjustRightInd w:val="0"/>
        <w:rPr>
          <w:b/>
          <w:lang w:eastAsia="en-US"/>
        </w:rPr>
      </w:pPr>
      <w:r w:rsidRPr="000448FB">
        <w:rPr>
          <w:b/>
          <w:lang w:eastAsia="en-US"/>
        </w:rPr>
        <w:t>4</w:t>
      </w:r>
      <w:r w:rsidRPr="000448FB">
        <w:rPr>
          <w:b/>
          <w:lang w:eastAsia="en-US"/>
        </w:rPr>
        <w:tab/>
        <w:t>Conclusion</w:t>
      </w:r>
    </w:p>
    <w:p w:rsidR="000448FB" w:rsidRPr="000448FB"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sidRPr="000448FB">
        <w:rPr>
          <w:rFonts w:eastAsia="Times New Roman"/>
          <w:color w:val="0B0C0C"/>
          <w:bdr w:val="none" w:sz="0" w:space="0" w:color="auto" w:frame="1"/>
          <w:shd w:val="clear" w:color="auto" w:fill="FFFFFF"/>
        </w:rPr>
        <w:t>JNAPC does not believe that the information produced by</w:t>
      </w:r>
      <w:r w:rsidRPr="000448FB">
        <w:rPr>
          <w:color w:val="0B0C0C"/>
          <w:bdr w:val="none" w:sz="0" w:space="0" w:color="auto" w:frame="1"/>
          <w:shd w:val="clear" w:color="auto" w:fill="FFFFFF"/>
          <w:lang w:eastAsia="en-US"/>
        </w:rPr>
        <w:t xml:space="preserve"> Royal HaskoningDHV</w:t>
      </w:r>
      <w:r w:rsidRPr="000448FB">
        <w:rPr>
          <w:rFonts w:eastAsia="Times New Roman"/>
          <w:color w:val="0B0C0C"/>
          <w:bdr w:val="none" w:sz="0" w:space="0" w:color="auto" w:frame="1"/>
          <w:shd w:val="clear" w:color="auto" w:fill="FFFFFF"/>
        </w:rPr>
        <w:t xml:space="preserve"> </w:t>
      </w:r>
      <w:r w:rsidRPr="000448FB">
        <w:rPr>
          <w:lang w:eastAsia="en-US"/>
        </w:rPr>
        <w:t>provides adequate evidence that heritage assets will not be adversely impacted and that the threat to these assets will be properly mitigated. On the basis that Dover Harbour Board has an alternative source of aggregate, and under the precautionary principle, t</w:t>
      </w:r>
      <w:r w:rsidRPr="000448FB">
        <w:rPr>
          <w:rFonts w:eastAsia="Times New Roman"/>
          <w:color w:val="0B0C0C"/>
          <w:bdr w:val="none" w:sz="0" w:space="0" w:color="auto" w:frame="1"/>
          <w:shd w:val="clear" w:color="auto" w:fill="FFFFFF"/>
        </w:rPr>
        <w:t>he JNAPC recommends that the MMO does not issue a marine licence to the Dover Harbour Board to dredge aggregates from the Goodwin Sands.</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We would welcome the opportunity to answer any questions that may arise from our response to this consultation.</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Yours sincerely</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r w:rsidRPr="000448FB">
        <w:rPr>
          <w:rFonts w:eastAsia="Times New Roman"/>
          <w:bdr w:val="none" w:sz="0" w:space="0" w:color="auto" w:frame="1"/>
          <w:shd w:val="clear" w:color="auto" w:fill="FFFFFF"/>
        </w:rPr>
        <w:br w:type="page"/>
      </w:r>
    </w:p>
    <w:p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proofErr w:type="gramStart"/>
      <w:r w:rsidRPr="000448FB">
        <w:rPr>
          <w:rFonts w:eastAsia="Calibri"/>
          <w:b/>
          <w:szCs w:val="22"/>
          <w:lang w:val="en-US" w:eastAsia="en-US"/>
        </w:rPr>
        <w:t>JOINT  NAUTICAL</w:t>
      </w:r>
      <w:proofErr w:type="gramEnd"/>
      <w:r w:rsidRPr="000448FB">
        <w:rPr>
          <w:rFonts w:eastAsia="Calibri"/>
          <w:b/>
          <w:szCs w:val="22"/>
          <w:lang w:val="en-US" w:eastAsia="en-US"/>
        </w:rPr>
        <w:t xml:space="preserve">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proofErr w:type="gramStart"/>
      <w:r w:rsidRPr="000448FB">
        <w:rPr>
          <w:rFonts w:eastAsia="Calibri"/>
          <w:i/>
          <w:szCs w:val="22"/>
          <w:lang w:eastAsia="en-US"/>
        </w:rPr>
        <w:t>Still</w:t>
      </w:r>
      <w:proofErr w:type="gramEnd"/>
      <w:r w:rsidRPr="000448FB">
        <w:rPr>
          <w:rFonts w:eastAsia="Calibri"/>
          <w:i/>
          <w:szCs w:val="22"/>
          <w:lang w:eastAsia="en-US"/>
        </w:rPr>
        <w:t xml:space="preserve">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proofErr w:type="gramStart"/>
      <w:r w:rsidRPr="000448FB">
        <w:rPr>
          <w:rFonts w:eastAsia="Calibri"/>
          <w:i/>
          <w:szCs w:val="22"/>
          <w:lang w:val="en-US" w:eastAsia="en-US"/>
        </w:rPr>
        <w:t>Protecting</w:t>
      </w:r>
      <w:proofErr w:type="gramEnd"/>
      <w:r w:rsidRPr="000448FB">
        <w:rPr>
          <w:rFonts w:eastAsia="Calibri"/>
          <w:i/>
          <w:szCs w:val="22"/>
          <w:lang w:val="en-US" w:eastAsia="en-US"/>
        </w:rPr>
        <w:t xml:space="preserve"> our Marine Historic Environment: Making the System Work Better</w:t>
      </w:r>
      <w:r w:rsidRPr="000448FB">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In 2013 the JNAPC was officially accredited as an NGO to the Scientific and Technical Advisory Board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E64CCC" w:rsidP="000448FB">
      <w:pPr>
        <w:jc w:val="both"/>
        <w:rPr>
          <w:rFonts w:eastAsia="Calibri"/>
          <w:szCs w:val="22"/>
          <w:lang w:val="en-US" w:eastAsia="en-US"/>
        </w:rPr>
      </w:pPr>
      <w:hyperlink r:id="rId10"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0448FB" w:rsidRPr="000448FB" w:rsidRDefault="000448FB" w:rsidP="000448FB">
      <w:pPr>
        <w:jc w:val="right"/>
        <w:outlineLvl w:val="0"/>
        <w:rPr>
          <w:rFonts w:eastAsia="Calibri"/>
          <w:szCs w:val="22"/>
          <w:lang w:val="en-US" w:eastAsia="en-US"/>
        </w:rPr>
      </w:pPr>
      <w:r w:rsidRPr="000448FB">
        <w:rPr>
          <w:rFonts w:eastAsia="Calibri"/>
          <w:szCs w:val="22"/>
          <w:lang w:val="en-US" w:eastAsia="en-US"/>
        </w:rPr>
        <w:lastRenderedPageBreak/>
        <w:t>Appendix 2</w:t>
      </w:r>
    </w:p>
    <w:p w:rsidR="000448FB" w:rsidRPr="000448FB" w:rsidRDefault="000448FB" w:rsidP="000448FB">
      <w:pPr>
        <w:jc w:val="both"/>
        <w:outlineLvl w:val="0"/>
        <w:rPr>
          <w:rFonts w:eastAsia="Calibri"/>
          <w:szCs w:val="22"/>
          <w:lang w:val="en-US" w:eastAsia="en-US"/>
        </w:rPr>
      </w:pPr>
      <w:r w:rsidRPr="000448FB">
        <w:rPr>
          <w:rFonts w:eastAsia="Calibri"/>
          <w:b/>
          <w:szCs w:val="22"/>
          <w:lang w:val="en-US" w:eastAsia="en-US"/>
        </w:rPr>
        <w:t>Joint Nautical Archaeology Policy Committee</w:t>
      </w:r>
      <w:r w:rsidRPr="000448FB">
        <w:rPr>
          <w:rFonts w:eastAsia="Calibri"/>
          <w:szCs w:val="22"/>
          <w:lang w:val="en-US" w:eastAsia="en-US"/>
        </w:rPr>
        <w:t xml:space="preserve"> </w:t>
      </w:r>
    </w:p>
    <w:p w:rsidR="000448FB" w:rsidRPr="000448FB" w:rsidRDefault="000448FB" w:rsidP="000448FB">
      <w:pPr>
        <w:jc w:val="both"/>
        <w:rPr>
          <w:rFonts w:eastAsia="Calibri"/>
          <w:b/>
          <w:szCs w:val="22"/>
          <w:lang w:val="en-US" w:eastAsia="en-US"/>
        </w:rPr>
      </w:pPr>
    </w:p>
    <w:p w:rsidR="000448FB" w:rsidRPr="000448FB" w:rsidRDefault="000448FB" w:rsidP="000448FB">
      <w:pPr>
        <w:jc w:val="both"/>
        <w:rPr>
          <w:rFonts w:eastAsia="Calibri"/>
          <w:szCs w:val="22"/>
          <w:lang w:val="en-US" w:eastAsia="en-US"/>
        </w:rPr>
      </w:pPr>
      <w:r w:rsidRPr="000448FB">
        <w:rPr>
          <w:rFonts w:eastAsia="Calibri"/>
          <w:b/>
          <w:szCs w:val="22"/>
          <w:lang w:val="en-US" w:eastAsia="en-US"/>
        </w:rPr>
        <w:t>Chairman</w:t>
      </w:r>
      <w:r w:rsidRPr="000448FB">
        <w:rPr>
          <w:rFonts w:eastAsia="Calibri"/>
          <w:szCs w:val="22"/>
          <w:lang w:val="en-US" w:eastAsia="en-US"/>
        </w:rPr>
        <w:t xml:space="preserve">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 xml:space="preserve">Robert Yorke </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ab/>
      </w:r>
    </w:p>
    <w:p w:rsidR="000448FB" w:rsidRPr="000448FB" w:rsidRDefault="000448FB" w:rsidP="000448FB">
      <w:pPr>
        <w:keepNext/>
        <w:jc w:val="both"/>
        <w:outlineLvl w:val="0"/>
        <w:rPr>
          <w:rFonts w:eastAsia="Times New Roman"/>
          <w:b/>
          <w:lang w:eastAsia="en-US"/>
        </w:rPr>
      </w:pPr>
      <w:r w:rsidRPr="000448FB">
        <w:rPr>
          <w:rFonts w:eastAsia="Times New Roman"/>
          <w:b/>
          <w:lang w:eastAsia="en-US"/>
        </w:rPr>
        <w:t>Member Organisations</w:t>
      </w:r>
    </w:p>
    <w:p w:rsidR="000448FB" w:rsidRPr="000448FB" w:rsidRDefault="000448FB" w:rsidP="000448FB">
      <w:pPr>
        <w:keepNext/>
        <w:autoSpaceDN w:val="0"/>
        <w:jc w:val="both"/>
        <w:outlineLvl w:val="3"/>
        <w:rPr>
          <w:rFonts w:eastAsia="Calibri"/>
          <w:szCs w:val="22"/>
          <w:lang w:val="en-US" w:eastAsia="en-US"/>
        </w:rPr>
      </w:pPr>
      <w:r w:rsidRPr="000448FB">
        <w:rPr>
          <w:rFonts w:eastAsia="Calibri"/>
          <w:szCs w:val="22"/>
          <w:lang w:val="en-US" w:eastAsia="en-US"/>
        </w:rPr>
        <w:t>Association of Local Government Archaeological Officers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Rebecca Loader</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British Sub Aqua Club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Jane Maddocks</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Chartered Institute for Archaeologists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Tim Howard</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Chartered Institute for Archaeologists, Marine Archaeology</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Special Interest Group (MASIG)</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Toby Gane</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Cotswold Archaeology</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Michael Walsh</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Council for British Archaeology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Mike Heyworth</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Maritime Archaeology Sea Trust (MAST)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Jessica Berry</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Maritime Archaeology Trust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Garry Momber</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Mary Rose Trust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Christopher Dobbs</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National Maritime Museum</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Nick Ball</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National Museum of the Royal Navy</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Dominic Tweddle</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National Museums &amp; Galleries of Wales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Mark Redknap</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Nautical Archaeology Society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Brian Minehane</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Professional Association of Diving Instructors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Suzanne Smith</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RESCUE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Stephen Appleby</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Sea Change Heritage Consultants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John Gribble</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Shipwreck Museum, Hastings</w:t>
      </w:r>
      <w:r w:rsidRPr="000448FB">
        <w:rPr>
          <w:rFonts w:eastAsia="Calibri"/>
          <w:szCs w:val="22"/>
          <w:lang w:val="en-US" w:eastAsia="en-US"/>
        </w:rPr>
        <w:tab/>
        <w:t xml:space="preserve">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Peter Marsden</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Society for Nautical Research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Alistair Roach</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Sub Aqua Association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Stuart Bryan</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Honourable Company of Master Mariners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Richard Woodman</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United Kingdom Maritime Collections Strategy &amp; ICOMOS</w:t>
      </w:r>
      <w:r w:rsidRPr="000448FB">
        <w:rPr>
          <w:rFonts w:eastAsia="Calibri"/>
          <w:szCs w:val="22"/>
          <w:lang w:val="en-US" w:eastAsia="en-US"/>
        </w:rPr>
        <w:tab/>
      </w:r>
      <w:r w:rsidRPr="000448FB">
        <w:rPr>
          <w:rFonts w:eastAsia="Calibri"/>
          <w:szCs w:val="22"/>
          <w:lang w:val="en-US" w:eastAsia="en-US"/>
        </w:rPr>
        <w:tab/>
        <w:t>Christopher Dobbs</w:t>
      </w:r>
    </w:p>
    <w:p w:rsidR="000448FB" w:rsidRPr="000448FB" w:rsidRDefault="000448FB" w:rsidP="000448FB">
      <w:pPr>
        <w:keepNext/>
        <w:overflowPunct w:val="0"/>
        <w:autoSpaceDE w:val="0"/>
        <w:autoSpaceDN w:val="0"/>
        <w:adjustRightInd w:val="0"/>
        <w:jc w:val="both"/>
        <w:outlineLvl w:val="3"/>
        <w:rPr>
          <w:rFonts w:eastAsia="Times New Roman"/>
          <w:szCs w:val="20"/>
        </w:rPr>
      </w:pPr>
      <w:r w:rsidRPr="000448FB">
        <w:rPr>
          <w:rFonts w:eastAsia="Times New Roman"/>
          <w:szCs w:val="20"/>
        </w:rPr>
        <w:t xml:space="preserve">Wessex Archaeology </w:t>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t>Euan McNeill</w:t>
      </w:r>
    </w:p>
    <w:p w:rsidR="000448FB" w:rsidRPr="000448FB" w:rsidRDefault="000448FB" w:rsidP="000448FB">
      <w:pPr>
        <w:tabs>
          <w:tab w:val="left" w:pos="720"/>
          <w:tab w:val="center" w:pos="4680"/>
          <w:tab w:val="right" w:pos="9360"/>
        </w:tabs>
        <w:jc w:val="both"/>
        <w:rPr>
          <w:rFonts w:eastAsia="Calibri"/>
          <w:szCs w:val="22"/>
          <w:lang w:val="en-US" w:eastAsia="en-US"/>
        </w:rPr>
      </w:pPr>
    </w:p>
    <w:p w:rsidR="000448FB" w:rsidRPr="000448FB" w:rsidRDefault="000448FB" w:rsidP="000448FB">
      <w:pPr>
        <w:keepNext/>
        <w:jc w:val="both"/>
        <w:outlineLvl w:val="0"/>
        <w:rPr>
          <w:rFonts w:eastAsia="Times New Roman"/>
          <w:b/>
          <w:bCs/>
          <w:lang w:eastAsia="en-US"/>
        </w:rPr>
      </w:pPr>
      <w:r w:rsidRPr="000448FB">
        <w:rPr>
          <w:rFonts w:eastAsia="Times New Roman"/>
          <w:b/>
          <w:lang w:eastAsia="en-US"/>
        </w:rPr>
        <w:t>Individual members</w:t>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t>Affiliation</w:t>
      </w:r>
    </w:p>
    <w:p w:rsidR="000448FB" w:rsidRPr="000448FB" w:rsidRDefault="000448FB" w:rsidP="000448FB">
      <w:pPr>
        <w:rPr>
          <w:rFonts w:eastAsia="Calibri"/>
          <w:i/>
          <w:szCs w:val="22"/>
          <w:lang w:val="en-US" w:eastAsia="en-US"/>
        </w:rPr>
      </w:pPr>
      <w:r w:rsidRPr="000448FB">
        <w:rPr>
          <w:rFonts w:eastAsia="Calibri"/>
          <w:szCs w:val="22"/>
          <w:lang w:val="en-US" w:eastAsia="en-US"/>
        </w:rPr>
        <w:t>Sarah Dromgoole</w:t>
      </w:r>
      <w:r w:rsidRPr="000448FB">
        <w:rPr>
          <w:rFonts w:eastAsia="Calibri"/>
          <w:i/>
          <w:szCs w:val="22"/>
          <w:lang w:val="en-US" w:eastAsia="en-US"/>
        </w:rPr>
        <w:t xml:space="preserve">  </w:t>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szCs w:val="22"/>
          <w:lang w:val="en-US" w:eastAsia="en-US"/>
        </w:rPr>
        <w:t>University of Nottingham</w:t>
      </w:r>
    </w:p>
    <w:p w:rsidR="000448FB" w:rsidRPr="000448FB" w:rsidRDefault="000448FB" w:rsidP="000448FB">
      <w:pPr>
        <w:ind w:left="2160" w:hanging="2160"/>
        <w:jc w:val="both"/>
        <w:rPr>
          <w:rFonts w:eastAsia="Calibri"/>
          <w:szCs w:val="22"/>
          <w:lang w:val="en-US" w:eastAsia="en-US"/>
        </w:rPr>
      </w:pPr>
      <w:r w:rsidRPr="000448FB">
        <w:rPr>
          <w:rFonts w:eastAsia="Calibri"/>
          <w:szCs w:val="22"/>
          <w:lang w:val="en-US" w:eastAsia="en-US"/>
        </w:rPr>
        <w:t>Antony Firth</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eastAsia="en-US"/>
        </w:rPr>
        <w:t>Fjordr Limited</w:t>
      </w:r>
    </w:p>
    <w:p w:rsidR="000448FB" w:rsidRPr="000448FB" w:rsidRDefault="000448FB" w:rsidP="000448FB">
      <w:pPr>
        <w:ind w:left="2160" w:hanging="2160"/>
        <w:jc w:val="both"/>
        <w:rPr>
          <w:rFonts w:eastAsia="Calibri"/>
          <w:szCs w:val="22"/>
          <w:lang w:val="en-US" w:eastAsia="en-US"/>
        </w:rPr>
      </w:pPr>
      <w:r w:rsidRPr="000448FB">
        <w:rPr>
          <w:rFonts w:eastAsia="Calibri"/>
          <w:szCs w:val="22"/>
          <w:lang w:val="en-US" w:eastAsia="en-US"/>
        </w:rPr>
        <w:t>Ian Oxley</w:t>
      </w:r>
    </w:p>
    <w:p w:rsidR="000448FB" w:rsidRPr="000448FB" w:rsidRDefault="000448FB" w:rsidP="000448FB">
      <w:pPr>
        <w:ind w:left="2160" w:hanging="2160"/>
        <w:jc w:val="both"/>
        <w:rPr>
          <w:rFonts w:eastAsia="Calibri"/>
          <w:szCs w:val="22"/>
          <w:lang w:val="en-US" w:eastAsia="en-US"/>
        </w:rPr>
      </w:pPr>
      <w:r w:rsidRPr="000448FB">
        <w:rPr>
          <w:rFonts w:eastAsia="Calibri"/>
          <w:szCs w:val="22"/>
          <w:lang w:val="en-US" w:eastAsia="en-US"/>
        </w:rPr>
        <w:t>David Parham</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Bournemouth University</w:t>
      </w:r>
    </w:p>
    <w:p w:rsidR="000448FB" w:rsidRPr="000448FB" w:rsidRDefault="000448FB" w:rsidP="000448FB">
      <w:pPr>
        <w:ind w:left="2160" w:hanging="2160"/>
        <w:jc w:val="both"/>
        <w:rPr>
          <w:rFonts w:eastAsia="Calibri"/>
          <w:szCs w:val="22"/>
          <w:lang w:val="en-US" w:eastAsia="en-US"/>
        </w:rPr>
      </w:pPr>
      <w:r w:rsidRPr="000448FB">
        <w:rPr>
          <w:rFonts w:eastAsia="Calibri"/>
          <w:szCs w:val="22"/>
          <w:lang w:val="en-US" w:eastAsia="en-US"/>
        </w:rPr>
        <w:t>Ray Sutcliffe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Maritime Heritage Trust</w:t>
      </w:r>
    </w:p>
    <w:p w:rsidR="000448FB" w:rsidRPr="000448FB" w:rsidRDefault="000448FB" w:rsidP="000448FB">
      <w:pPr>
        <w:ind w:left="2160" w:hanging="2160"/>
        <w:jc w:val="both"/>
        <w:rPr>
          <w:rFonts w:eastAsia="Calibri"/>
          <w:szCs w:val="22"/>
          <w:lang w:val="en-US" w:eastAsia="en-US"/>
        </w:rPr>
      </w:pPr>
      <w:r w:rsidRPr="000448FB">
        <w:rPr>
          <w:rFonts w:eastAsia="Calibri"/>
          <w:szCs w:val="22"/>
          <w:lang w:val="en-US" w:eastAsia="en-US"/>
        </w:rPr>
        <w:t xml:space="preserve">Michael Williams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Plymouth University</w:t>
      </w:r>
    </w:p>
    <w:p w:rsidR="000448FB" w:rsidRPr="000448FB" w:rsidRDefault="000448FB" w:rsidP="000448FB">
      <w:pPr>
        <w:keepNext/>
        <w:jc w:val="both"/>
        <w:outlineLvl w:val="0"/>
        <w:rPr>
          <w:rFonts w:eastAsia="Times New Roman"/>
          <w:b/>
          <w:bCs/>
          <w:lang w:eastAsia="en-US"/>
        </w:rPr>
      </w:pPr>
    </w:p>
    <w:p w:rsidR="000448FB" w:rsidRPr="000448FB" w:rsidRDefault="000448FB" w:rsidP="000448FB">
      <w:pPr>
        <w:keepNext/>
        <w:jc w:val="both"/>
        <w:outlineLvl w:val="0"/>
        <w:rPr>
          <w:rFonts w:eastAsia="Times New Roman"/>
          <w:b/>
          <w:lang w:eastAsia="en-US"/>
        </w:rPr>
      </w:pPr>
      <w:r w:rsidRPr="000448FB">
        <w:rPr>
          <w:rFonts w:eastAsia="Times New Roman"/>
          <w:b/>
          <w:lang w:eastAsia="en-US"/>
        </w:rPr>
        <w:t>Observers</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Cadw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Polly Groom</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Crown Estate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Matthew Clear</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Department for Communities (Northern Ireland), Historic</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Environment Division</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Rory McNeary</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Department for Digital, Culture, Media and Sport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Gill Graham/Enid Williams</w:t>
      </w:r>
    </w:p>
    <w:p w:rsidR="000448FB" w:rsidRPr="000448FB" w:rsidRDefault="000448FB" w:rsidP="000448FB">
      <w:pPr>
        <w:rPr>
          <w:rFonts w:eastAsia="Calibri"/>
          <w:szCs w:val="22"/>
          <w:lang w:val="en-US" w:eastAsia="en-US"/>
        </w:rPr>
      </w:pPr>
      <w:r w:rsidRPr="000448FB">
        <w:rPr>
          <w:rFonts w:eastAsia="Calibri"/>
          <w:szCs w:val="22"/>
          <w:lang w:val="en-US" w:eastAsia="en-US"/>
        </w:rPr>
        <w:t>Department for Transport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p>
    <w:p w:rsidR="000448FB" w:rsidRPr="000448FB" w:rsidRDefault="000448FB" w:rsidP="000448FB">
      <w:pPr>
        <w:rPr>
          <w:rFonts w:eastAsia="Calibri"/>
          <w:szCs w:val="22"/>
          <w:lang w:val="en-US" w:eastAsia="en-US"/>
        </w:rPr>
      </w:pPr>
      <w:r w:rsidRPr="000448FB">
        <w:rPr>
          <w:rFonts w:eastAsia="Calibri"/>
          <w:szCs w:val="22"/>
          <w:lang w:val="en-US" w:eastAsia="en-US"/>
        </w:rPr>
        <w:t>Foreign and Commonwealth Office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Lowri Griffiths</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Historic England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Joe Flatman</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Historic Environment Scotland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Philip Robertson</w:t>
      </w:r>
    </w:p>
    <w:p w:rsidR="000448FB" w:rsidRPr="000448FB" w:rsidRDefault="000448FB" w:rsidP="000448FB">
      <w:pPr>
        <w:keepNext/>
        <w:overflowPunct w:val="0"/>
        <w:autoSpaceDE w:val="0"/>
        <w:autoSpaceDN w:val="0"/>
        <w:adjustRightInd w:val="0"/>
        <w:jc w:val="both"/>
        <w:outlineLvl w:val="2"/>
        <w:rPr>
          <w:rFonts w:eastAsia="Times New Roman"/>
          <w:szCs w:val="20"/>
        </w:rPr>
      </w:pPr>
      <w:r w:rsidRPr="000448FB">
        <w:rPr>
          <w:rFonts w:eastAsia="Times New Roman"/>
          <w:szCs w:val="20"/>
        </w:rPr>
        <w:t>Historic Wrecks Panel of Historic England</w:t>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t>Tom Hassall</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Maritime and Coastguard Agency, Receiver of Wreck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Alison Kentuck</w:t>
      </w: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Ministry of Defence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Nick Kelsall</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National Trust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Ian Barnes</w:t>
      </w:r>
    </w:p>
    <w:p w:rsidR="000448FB" w:rsidRPr="000448FB" w:rsidRDefault="000448FB" w:rsidP="000448FB">
      <w:pPr>
        <w:jc w:val="both"/>
        <w:rPr>
          <w:rFonts w:eastAsia="Calibri"/>
          <w:szCs w:val="22"/>
          <w:lang w:val="en-US" w:eastAsia="en-US"/>
        </w:rPr>
      </w:pPr>
      <w:r w:rsidRPr="000448FB">
        <w:rPr>
          <w:rFonts w:eastAsia="Calibri"/>
          <w:szCs w:val="22"/>
          <w:lang w:val="en-US" w:eastAsia="en-US"/>
        </w:rPr>
        <w:t>Royal Commission on the Ancient and Historical Monuments</w:t>
      </w:r>
    </w:p>
    <w:p w:rsidR="009A4661" w:rsidRDefault="000448FB" w:rsidP="000448FB">
      <w:pPr>
        <w:overflowPunct w:val="0"/>
        <w:autoSpaceDE w:val="0"/>
        <w:autoSpaceDN w:val="0"/>
        <w:adjustRightInd w:val="0"/>
        <w:textAlignment w:val="baseline"/>
        <w:rPr>
          <w:rFonts w:eastAsia="Times New Roman"/>
        </w:rPr>
      </w:pPr>
      <w:proofErr w:type="gramStart"/>
      <w:r w:rsidRPr="000448FB">
        <w:rPr>
          <w:rFonts w:eastAsia="Calibri"/>
          <w:szCs w:val="22"/>
          <w:lang w:val="en-US" w:eastAsia="en-US"/>
        </w:rPr>
        <w:t>of</w:t>
      </w:r>
      <w:proofErr w:type="gramEnd"/>
      <w:r w:rsidRPr="000448FB">
        <w:rPr>
          <w:rFonts w:eastAsia="Calibri"/>
          <w:szCs w:val="22"/>
          <w:lang w:val="en-US" w:eastAsia="en-US"/>
        </w:rPr>
        <w:t xml:space="preserve"> Scotland</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p>
    <w:sectPr w:rsidR="009A4661" w:rsidSect="0032002D">
      <w:footerReference w:type="default" r:id="rId11"/>
      <w:pgSz w:w="11906" w:h="16838"/>
      <w:pgMar w:top="851" w:right="1134" w:bottom="1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4CCC" w:rsidRDefault="00E64CCC" w:rsidP="0032002D">
      <w:r>
        <w:separator/>
      </w:r>
    </w:p>
  </w:endnote>
  <w:endnote w:type="continuationSeparator" w:id="0">
    <w:p w:rsidR="00E64CCC" w:rsidRDefault="00E64CCC"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proofErr w:type="gramStart"/>
    <w:r w:rsidRPr="00F52DA6">
      <w:rPr>
        <w:sz w:val="20"/>
        <w:szCs w:val="20"/>
      </w:rPr>
      <w:t>email</w:t>
    </w:r>
    <w:proofErr w:type="gramEnd"/>
    <w:r w:rsidRPr="00F52DA6">
      <w:rPr>
        <w:sz w:val="20"/>
        <w:szCs w:val="20"/>
      </w:rPr>
      <w:t xml:space="preserve">: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4CCC" w:rsidRDefault="00E64CCC" w:rsidP="0032002D">
      <w:r>
        <w:separator/>
      </w:r>
    </w:p>
  </w:footnote>
  <w:footnote w:type="continuationSeparator" w:id="0">
    <w:p w:rsidR="00E64CCC" w:rsidRDefault="00E64CCC"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448FB"/>
    <w:rsid w:val="00281C83"/>
    <w:rsid w:val="0032002D"/>
    <w:rsid w:val="003B1FF5"/>
    <w:rsid w:val="0042616E"/>
    <w:rsid w:val="00476B53"/>
    <w:rsid w:val="0048105D"/>
    <w:rsid w:val="0049600E"/>
    <w:rsid w:val="00617453"/>
    <w:rsid w:val="00627588"/>
    <w:rsid w:val="00815245"/>
    <w:rsid w:val="0083661C"/>
    <w:rsid w:val="00996A19"/>
    <w:rsid w:val="009A4661"/>
    <w:rsid w:val="00A10D16"/>
    <w:rsid w:val="00A72BDF"/>
    <w:rsid w:val="00AC52D3"/>
    <w:rsid w:val="00AE52AC"/>
    <w:rsid w:val="00B861BF"/>
    <w:rsid w:val="00BF6011"/>
    <w:rsid w:val="00BF723B"/>
    <w:rsid w:val="00D943BC"/>
    <w:rsid w:val="00DE110F"/>
    <w:rsid w:val="00E64CCC"/>
    <w:rsid w:val="00F23954"/>
    <w:rsid w:val="00F52DA6"/>
    <w:rsid w:val="00F64F4E"/>
    <w:rsid w:val="00F86F72"/>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jnapc.org.uk" TargetMode="External"/><Relationship Id="rId4" Type="http://schemas.openxmlformats.org/officeDocument/2006/relationships/settings" Target="settings.xml"/><Relationship Id="rId9" Type="http://schemas.openxmlformats.org/officeDocument/2006/relationships/hyperlink" Target="mailto:marine.consents@marinemanagement.org.uk"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4068</Words>
  <Characters>23191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2016-12-28T11:43:00Z</cp:lastPrinted>
  <dcterms:created xsi:type="dcterms:W3CDTF">2017-09-28T09:33:00Z</dcterms:created>
  <dcterms:modified xsi:type="dcterms:W3CDTF">2017-09-28T09:33:00Z</dcterms:modified>
</cp:coreProperties>
</file>