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people.xml" ContentType="application/vnd.openxmlformats-officedocument.wordprocessingml.people+xml"/>
  <Override PartName="/word/commentsExtended.xml" ContentType="application/vnd.openxmlformats-officedocument.wordprocessingml.commentsExtended+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1A15E7" w14:textId="5B68F492" w:rsidR="007C16A4" w:rsidRPr="004A50A5" w:rsidRDefault="00C52188" w:rsidP="00211EA1">
      <w:pPr>
        <w:jc w:val="center"/>
        <w:rPr>
          <w:b/>
          <w:sz w:val="28"/>
          <w:szCs w:val="28"/>
        </w:rPr>
      </w:pPr>
      <w:bookmarkStart w:id="0" w:name="_GoBack"/>
      <w:bookmarkEnd w:id="0"/>
      <w:r w:rsidRPr="004A50A5">
        <w:rPr>
          <w:b/>
          <w:sz w:val="28"/>
          <w:szCs w:val="28"/>
        </w:rPr>
        <w:t xml:space="preserve">The HMS </w:t>
      </w:r>
      <w:r w:rsidRPr="004A50A5">
        <w:rPr>
          <w:b/>
          <w:i/>
          <w:sz w:val="28"/>
          <w:szCs w:val="28"/>
        </w:rPr>
        <w:t>Victory</w:t>
      </w:r>
      <w:r w:rsidRPr="004A50A5">
        <w:rPr>
          <w:b/>
          <w:sz w:val="28"/>
          <w:szCs w:val="28"/>
        </w:rPr>
        <w:t xml:space="preserve"> </w:t>
      </w:r>
      <w:r w:rsidR="00B47208">
        <w:rPr>
          <w:b/>
          <w:sz w:val="28"/>
          <w:szCs w:val="28"/>
        </w:rPr>
        <w:t>1744 Marine Licence Application</w:t>
      </w:r>
    </w:p>
    <w:p w14:paraId="40C717A2" w14:textId="77777777" w:rsidR="00C52188" w:rsidRPr="004A50A5" w:rsidRDefault="00C52188" w:rsidP="00211EA1">
      <w:pPr>
        <w:jc w:val="center"/>
        <w:rPr>
          <w:b/>
          <w:sz w:val="28"/>
          <w:szCs w:val="28"/>
        </w:rPr>
      </w:pPr>
      <w:r w:rsidRPr="004A50A5">
        <w:rPr>
          <w:b/>
          <w:sz w:val="28"/>
          <w:szCs w:val="28"/>
        </w:rPr>
        <w:t>JNAPC Comments following the release of the Project Design</w:t>
      </w:r>
      <w:r w:rsidR="00211EA1" w:rsidRPr="004A50A5">
        <w:rPr>
          <w:b/>
          <w:sz w:val="28"/>
          <w:szCs w:val="28"/>
        </w:rPr>
        <w:t xml:space="preserve"> and Addendum</w:t>
      </w:r>
    </w:p>
    <w:p w14:paraId="30E27E17" w14:textId="5BD53A7D" w:rsidR="00C52188" w:rsidRPr="004A50A5" w:rsidRDefault="00C52188" w:rsidP="00C52188">
      <w:r w:rsidRPr="004A50A5">
        <w:t xml:space="preserve">Firstly, the </w:t>
      </w:r>
      <w:r w:rsidR="00D642BA" w:rsidRPr="004A50A5">
        <w:t>Joint Nautical Archaeology Policy Committee (JNAPC)</w:t>
      </w:r>
      <w:r w:rsidRPr="004A50A5">
        <w:t xml:space="preserve"> is </w:t>
      </w:r>
      <w:r w:rsidR="00897DA4" w:rsidRPr="004A50A5">
        <w:t xml:space="preserve">pleased </w:t>
      </w:r>
      <w:r w:rsidRPr="004A50A5">
        <w:t xml:space="preserve">that </w:t>
      </w:r>
      <w:r w:rsidR="00FA3959" w:rsidRPr="004A50A5">
        <w:t>its</w:t>
      </w:r>
      <w:r w:rsidRPr="004A50A5">
        <w:t xml:space="preserve"> advice regarding the release of the Project Design (PD) was noted, and </w:t>
      </w:r>
      <w:r w:rsidR="00897DA4" w:rsidRPr="004A50A5">
        <w:t xml:space="preserve">that </w:t>
      </w:r>
      <w:r w:rsidRPr="004A50A5">
        <w:t xml:space="preserve">it is now possible for </w:t>
      </w:r>
      <w:r w:rsidR="0049364E" w:rsidRPr="004A50A5">
        <w:t>the committee</w:t>
      </w:r>
      <w:r w:rsidRPr="004A50A5">
        <w:t xml:space="preserve"> to comment on this, the most critical of documents pertaining to the</w:t>
      </w:r>
      <w:r w:rsidR="00EF50D8" w:rsidRPr="004A50A5">
        <w:t xml:space="preserve"> Maritime Heritage F</w:t>
      </w:r>
      <w:r w:rsidRPr="004A50A5">
        <w:t xml:space="preserve">oundation’s (MHF) </w:t>
      </w:r>
      <w:r w:rsidRPr="004A50A5">
        <w:rPr>
          <w:i/>
        </w:rPr>
        <w:t>Victory</w:t>
      </w:r>
      <w:r w:rsidRPr="004A50A5">
        <w:t xml:space="preserve"> 1744 project plans. </w:t>
      </w:r>
    </w:p>
    <w:p w14:paraId="7C0C02D5" w14:textId="77777777" w:rsidR="00C52188" w:rsidRPr="004A50A5" w:rsidRDefault="00C52188" w:rsidP="00C52188">
      <w:r w:rsidRPr="004A50A5">
        <w:t>Having circulated the document</w:t>
      </w:r>
      <w:r w:rsidR="00370284" w:rsidRPr="004A50A5">
        <w:t xml:space="preserve"> to the committee</w:t>
      </w:r>
      <w:r w:rsidRPr="004A50A5">
        <w:t xml:space="preserve"> for views, rather than dispelling</w:t>
      </w:r>
      <w:r w:rsidR="0049364E" w:rsidRPr="004A50A5">
        <w:t xml:space="preserve"> the</w:t>
      </w:r>
      <w:r w:rsidRPr="004A50A5">
        <w:t xml:space="preserve"> fears that the </w:t>
      </w:r>
      <w:r w:rsidR="00C03C69" w:rsidRPr="004A50A5">
        <w:t xml:space="preserve">JNAPC </w:t>
      </w:r>
      <w:r w:rsidRPr="004A50A5">
        <w:t xml:space="preserve">has harboured regarding this project, the PD has in fact confirmed them. It has become apparent through this document, and from the contents of the letter </w:t>
      </w:r>
      <w:r w:rsidR="00D80768" w:rsidRPr="004A50A5">
        <w:t>dated 25</w:t>
      </w:r>
      <w:r w:rsidR="00D80768" w:rsidRPr="004A50A5">
        <w:rPr>
          <w:vertAlign w:val="superscript"/>
        </w:rPr>
        <w:t>th</w:t>
      </w:r>
      <w:r w:rsidR="00D80768" w:rsidRPr="004A50A5">
        <w:t xml:space="preserve"> July 2014 </w:t>
      </w:r>
      <w:r w:rsidRPr="004A50A5">
        <w:t>from Lord Lin</w:t>
      </w:r>
      <w:r w:rsidR="0049364E" w:rsidRPr="004A50A5">
        <w:t>g</w:t>
      </w:r>
      <w:r w:rsidRPr="004A50A5">
        <w:t xml:space="preserve">field to the Secretary of State </w:t>
      </w:r>
      <w:r w:rsidR="00D80768" w:rsidRPr="004A50A5">
        <w:t>for Defence, Mr Michael Fallon</w:t>
      </w:r>
      <w:r w:rsidR="0049364E" w:rsidRPr="004A50A5">
        <w:t xml:space="preserve"> release</w:t>
      </w:r>
      <w:r w:rsidR="00D80768" w:rsidRPr="004A50A5">
        <w:t>d</w:t>
      </w:r>
      <w:r w:rsidR="0049364E" w:rsidRPr="004A50A5">
        <w:t xml:space="preserve"> under a Freedom of Information request</w:t>
      </w:r>
      <w:r w:rsidR="000C5B7B" w:rsidRPr="004A50A5">
        <w:t xml:space="preserve"> (copy of which accompanies this response)</w:t>
      </w:r>
      <w:r w:rsidR="0049364E" w:rsidRPr="004A50A5">
        <w:t>,</w:t>
      </w:r>
      <w:r w:rsidRPr="004A50A5">
        <w:t xml:space="preserve"> that there are serious failings surrounding the proposed project, and </w:t>
      </w:r>
      <w:r w:rsidR="005652C9" w:rsidRPr="004A50A5">
        <w:t xml:space="preserve">that </w:t>
      </w:r>
      <w:r w:rsidRPr="004A50A5">
        <w:t>the PD raises more questions than it answers.</w:t>
      </w:r>
    </w:p>
    <w:p w14:paraId="73D59458" w14:textId="4FC6E0B4" w:rsidR="00C52188" w:rsidRPr="004A50A5" w:rsidRDefault="00C52188" w:rsidP="00C52188">
      <w:r w:rsidRPr="004A50A5">
        <w:t xml:space="preserve">These failings can be categorised into </w:t>
      </w:r>
      <w:r w:rsidR="00C44325" w:rsidRPr="004A50A5">
        <w:t xml:space="preserve">six </w:t>
      </w:r>
      <w:r w:rsidRPr="004A50A5">
        <w:t xml:space="preserve">themes: Archaeological Methodology; Standards and </w:t>
      </w:r>
      <w:r w:rsidR="000E3ADB" w:rsidRPr="004A50A5">
        <w:t xml:space="preserve">UK Heritage </w:t>
      </w:r>
      <w:r w:rsidRPr="004A50A5">
        <w:t>Policy;</w:t>
      </w:r>
      <w:r w:rsidR="0049364E" w:rsidRPr="004A50A5">
        <w:t xml:space="preserve"> </w:t>
      </w:r>
      <w:r w:rsidR="006B32E3" w:rsidRPr="004A50A5">
        <w:t xml:space="preserve">Rules and Definitions of the Annex; </w:t>
      </w:r>
      <w:r w:rsidR="000E3ADB" w:rsidRPr="004A50A5">
        <w:t>Compliance with the Annex and UK Heritage Policy</w:t>
      </w:r>
      <w:r w:rsidR="0049364E" w:rsidRPr="004A50A5">
        <w:t>;</w:t>
      </w:r>
      <w:r w:rsidRPr="004A50A5">
        <w:t xml:space="preserve"> Thematic Research</w:t>
      </w:r>
      <w:r w:rsidR="000E3ADB" w:rsidRPr="004A50A5">
        <w:t xml:space="preserve">; and Budget and </w:t>
      </w:r>
      <w:r w:rsidR="005B5D6B" w:rsidRPr="004A50A5">
        <w:t>Funding</w:t>
      </w:r>
      <w:r w:rsidRPr="004A50A5">
        <w:t xml:space="preserve">. </w:t>
      </w:r>
      <w:r w:rsidR="0049364E" w:rsidRPr="004A50A5">
        <w:t>T</w:t>
      </w:r>
      <w:r w:rsidRPr="004A50A5">
        <w:t xml:space="preserve">his </w:t>
      </w:r>
      <w:r w:rsidR="0049364E" w:rsidRPr="004A50A5">
        <w:t>document</w:t>
      </w:r>
      <w:r w:rsidRPr="004A50A5">
        <w:t xml:space="preserve"> is therefore necessarily lengthy.</w:t>
      </w:r>
    </w:p>
    <w:p w14:paraId="63A8F49E" w14:textId="77777777" w:rsidR="00437F83" w:rsidRPr="004A50A5" w:rsidRDefault="00437F83" w:rsidP="00C52188">
      <w:pPr>
        <w:rPr>
          <w:b/>
        </w:rPr>
      </w:pPr>
      <w:r w:rsidRPr="004A50A5">
        <w:rPr>
          <w:b/>
        </w:rPr>
        <w:t>Executive Summary</w:t>
      </w:r>
    </w:p>
    <w:p w14:paraId="63BD4CF4" w14:textId="607B7C01" w:rsidR="00437F83" w:rsidRPr="004A50A5" w:rsidRDefault="00437F83" w:rsidP="00437F83">
      <w:r w:rsidRPr="004A50A5">
        <w:t xml:space="preserve">The methodological approach of the PD seems to be at odds with the permission (now withdrawn) that was originally granted by the Secretary of State. This appears to be more than mere ‘mission creep’ and the </w:t>
      </w:r>
      <w:r w:rsidR="005652C9" w:rsidRPr="004A50A5">
        <w:t xml:space="preserve">JNAPC </w:t>
      </w:r>
      <w:r w:rsidR="008A75EC" w:rsidRPr="004A50A5">
        <w:t>continues to have</w:t>
      </w:r>
      <w:r w:rsidRPr="004A50A5">
        <w:t xml:space="preserve"> concerns that the objectives have been stretched to allow for a hunt</w:t>
      </w:r>
      <w:r w:rsidR="005652C9" w:rsidRPr="004A50A5">
        <w:t xml:space="preserve"> for bullion</w:t>
      </w:r>
      <w:r w:rsidRPr="004A50A5">
        <w:t>. These concerns have not</w:t>
      </w:r>
      <w:r w:rsidR="008A75EC" w:rsidRPr="004A50A5">
        <w:t xml:space="preserve"> in any way</w:t>
      </w:r>
      <w:r w:rsidRPr="004A50A5">
        <w:t xml:space="preserve"> been allayed by the release of the PD.</w:t>
      </w:r>
    </w:p>
    <w:p w14:paraId="703E1AA2" w14:textId="77777777" w:rsidR="00437F83" w:rsidRPr="004A50A5" w:rsidRDefault="00437F83" w:rsidP="00437F83">
      <w:r w:rsidRPr="004A50A5">
        <w:t xml:space="preserve">It appears to be clear that with regard to this project the </w:t>
      </w:r>
      <w:r w:rsidR="00D642BA" w:rsidRPr="004A50A5">
        <w:t>PD</w:t>
      </w:r>
      <w:r w:rsidRPr="004A50A5">
        <w:t xml:space="preserve"> is not compliant with stated UK policy with respect to </w:t>
      </w:r>
      <w:r w:rsidR="00D642BA" w:rsidRPr="004A50A5">
        <w:t>Underwater Cultural Heritage (</w:t>
      </w:r>
      <w:r w:rsidRPr="004A50A5">
        <w:t>UCH</w:t>
      </w:r>
      <w:r w:rsidR="00D642BA" w:rsidRPr="004A50A5">
        <w:t>)</w:t>
      </w:r>
      <w:r w:rsidRPr="004A50A5">
        <w:t>. The adoption of the Annex by the UK Government for the purposes of the treatment of UCH makes the determination of what is, and what is not UCH a straightforward matter. By this definition</w:t>
      </w:r>
      <w:r w:rsidR="00D642BA" w:rsidRPr="004A50A5">
        <w:t>,</w:t>
      </w:r>
      <w:r w:rsidRPr="004A50A5">
        <w:t xml:space="preserve"> and therefore UK policy, the entire </w:t>
      </w:r>
      <w:r w:rsidR="00AD650F" w:rsidRPr="004A50A5">
        <w:t>contents of the shipwreck are</w:t>
      </w:r>
      <w:r w:rsidRPr="004A50A5">
        <w:t xml:space="preserve"> UCH.</w:t>
      </w:r>
    </w:p>
    <w:p w14:paraId="1990AB92" w14:textId="13C5C85C" w:rsidR="00437F83" w:rsidRPr="004A50A5" w:rsidRDefault="008A75EC" w:rsidP="00437F83">
      <w:r w:rsidRPr="004A50A5">
        <w:t>T</w:t>
      </w:r>
      <w:r w:rsidR="00437F83" w:rsidRPr="004A50A5">
        <w:t xml:space="preserve">he MHF </w:t>
      </w:r>
      <w:r w:rsidR="00AE3486" w:rsidRPr="004A50A5">
        <w:t xml:space="preserve">has </w:t>
      </w:r>
      <w:r w:rsidR="00437F83" w:rsidRPr="004A50A5">
        <w:t xml:space="preserve">sought to assure others that the PD complies with the Annex, but this </w:t>
      </w:r>
      <w:r w:rsidR="00C44325" w:rsidRPr="004A50A5">
        <w:t>appears to be incorrect</w:t>
      </w:r>
      <w:r w:rsidR="00437F83" w:rsidRPr="004A50A5">
        <w:t>.</w:t>
      </w:r>
    </w:p>
    <w:p w14:paraId="2B6F6B31" w14:textId="25A42892" w:rsidR="00414ECD" w:rsidRPr="004A50A5" w:rsidRDefault="00414ECD" w:rsidP="00437F83">
      <w:r w:rsidRPr="004A50A5">
        <w:t xml:space="preserve">There is no absolute guarantee that </w:t>
      </w:r>
      <w:r w:rsidRPr="004A50A5">
        <w:rPr>
          <w:i/>
        </w:rPr>
        <w:t>all</w:t>
      </w:r>
      <w:r w:rsidRPr="004A50A5">
        <w:t xml:space="preserve"> finds will go to a UK museum, no agreement with an accredited UK museum, a conservation unit has not been identified, and it is clear that the financial resources are inadequate for the project - unless some of the finds are sold (presumably by gift to </w:t>
      </w:r>
      <w:r w:rsidR="006D3302" w:rsidRPr="004A50A5">
        <w:t>MHF’s contractor Odyssey Marine Exploration (</w:t>
      </w:r>
      <w:r w:rsidRPr="004A50A5">
        <w:t>OME</w:t>
      </w:r>
      <w:r w:rsidR="006D3302" w:rsidRPr="004A50A5">
        <w:t>)</w:t>
      </w:r>
      <w:r w:rsidRPr="004A50A5">
        <w:t xml:space="preserve"> for sale) making the project incompatible with UK heritage policy. There is also the </w:t>
      </w:r>
      <w:r w:rsidR="007C72B1" w:rsidRPr="004A50A5">
        <w:t>important</w:t>
      </w:r>
      <w:r w:rsidRPr="004A50A5">
        <w:t xml:space="preserve"> issue of the fate of the non-MOD finds which are not covered by the MOD's gift to the MHF.</w:t>
      </w:r>
    </w:p>
    <w:p w14:paraId="5E12B71C" w14:textId="65406D6D" w:rsidR="00437F83" w:rsidRPr="004A50A5" w:rsidRDefault="00437F83" w:rsidP="00437F83">
      <w:r w:rsidRPr="004A50A5">
        <w:t xml:space="preserve">There appears to have been some </w:t>
      </w:r>
      <w:r w:rsidR="00CA3B5B" w:rsidRPr="004A50A5">
        <w:t xml:space="preserve">misconceptions underpinning </w:t>
      </w:r>
      <w:r w:rsidRPr="004A50A5">
        <w:t xml:space="preserve">the research objectives and the historical background in the PD. </w:t>
      </w:r>
    </w:p>
    <w:p w14:paraId="0F079A6C" w14:textId="7B9A2AEB" w:rsidR="00437F83" w:rsidRPr="004A50A5" w:rsidRDefault="001D1F50" w:rsidP="00437F83">
      <w:r w:rsidRPr="004A50A5">
        <w:lastRenderedPageBreak/>
        <w:t>The financial arrangements agreed between</w:t>
      </w:r>
      <w:r w:rsidR="004E33BA" w:rsidRPr="004A50A5">
        <w:t xml:space="preserve"> </w:t>
      </w:r>
      <w:r w:rsidRPr="004A50A5">
        <w:t xml:space="preserve">OME and MHF </w:t>
      </w:r>
      <w:r w:rsidR="00587194" w:rsidRPr="004A50A5">
        <w:t>are unclear</w:t>
      </w:r>
      <w:r w:rsidRPr="004A50A5">
        <w:t>. They</w:t>
      </w:r>
      <w:r w:rsidR="00587194" w:rsidRPr="004A50A5">
        <w:t xml:space="preserve"> appear to</w:t>
      </w:r>
      <w:r w:rsidRPr="004A50A5">
        <w:t xml:space="preserve"> breach the rules of the Annex</w:t>
      </w:r>
      <w:r w:rsidR="00D642BA" w:rsidRPr="004A50A5">
        <w:t>,</w:t>
      </w:r>
      <w:r w:rsidRPr="004A50A5">
        <w:t xml:space="preserve"> and therefore UK Heritage policy, and on this point alone no further </w:t>
      </w:r>
      <w:r w:rsidR="00EB3649">
        <w:t xml:space="preserve">licences or </w:t>
      </w:r>
      <w:r w:rsidRPr="004A50A5">
        <w:t>permissions should be granted until the project fully complies in this respect.</w:t>
      </w:r>
    </w:p>
    <w:p w14:paraId="0DAC7371" w14:textId="0DEC4F39" w:rsidR="002C430C" w:rsidRPr="004A50A5" w:rsidRDefault="00CA3B5B" w:rsidP="00437F83">
      <w:r w:rsidRPr="004A50A5">
        <w:t>The JNAPC, having assessed the project documentation</w:t>
      </w:r>
      <w:r w:rsidR="008C1128">
        <w:t>,</w:t>
      </w:r>
      <w:r w:rsidRPr="004A50A5">
        <w:t xml:space="preserve"> cannot support this project </w:t>
      </w:r>
      <w:r w:rsidR="00E154FC" w:rsidRPr="004A50A5">
        <w:t>or</w:t>
      </w:r>
      <w:r w:rsidRPr="004A50A5">
        <w:t xml:space="preserve"> the MMO licence application until major and far reaching changes have been made and unequivocal assurances of compliance with existing UK heritage policy have been substantiated.</w:t>
      </w:r>
    </w:p>
    <w:p w14:paraId="0CE4E6EA" w14:textId="77777777" w:rsidR="00C52188" w:rsidRPr="004A50A5" w:rsidRDefault="00C52188" w:rsidP="00C52188">
      <w:pPr>
        <w:rPr>
          <w:b/>
        </w:rPr>
      </w:pPr>
      <w:r w:rsidRPr="004A50A5">
        <w:rPr>
          <w:b/>
        </w:rPr>
        <w:t>Archaeological Methodology</w:t>
      </w:r>
    </w:p>
    <w:p w14:paraId="447B5B2D" w14:textId="77777777" w:rsidR="00C52188" w:rsidRPr="004A50A5" w:rsidRDefault="00C52188" w:rsidP="00C52188">
      <w:pPr>
        <w:pStyle w:val="ListParagraph"/>
        <w:numPr>
          <w:ilvl w:val="0"/>
          <w:numId w:val="3"/>
        </w:numPr>
        <w:ind w:left="426" w:hanging="426"/>
      </w:pPr>
      <w:r w:rsidRPr="004A50A5">
        <w:t xml:space="preserve">There is insufficient attention paid to the </w:t>
      </w:r>
      <w:r w:rsidRPr="004A50A5">
        <w:rPr>
          <w:i/>
        </w:rPr>
        <w:t>in situ</w:t>
      </w:r>
      <w:r w:rsidRPr="004A50A5">
        <w:t xml:space="preserve"> option. </w:t>
      </w:r>
      <w:r w:rsidR="00792273" w:rsidRPr="004A50A5">
        <w:t xml:space="preserve">The Annex requires </w:t>
      </w:r>
      <w:r w:rsidR="001D1F50" w:rsidRPr="004A50A5">
        <w:t xml:space="preserve">that </w:t>
      </w:r>
      <w:r w:rsidR="001D1F50" w:rsidRPr="004A50A5">
        <w:rPr>
          <w:i/>
        </w:rPr>
        <w:t>in</w:t>
      </w:r>
      <w:r w:rsidRPr="004A50A5">
        <w:rPr>
          <w:i/>
        </w:rPr>
        <w:t xml:space="preserve"> situ</w:t>
      </w:r>
      <w:r w:rsidRPr="004A50A5">
        <w:t xml:space="preserve"> preservation should be considered as a first option. With this in mind a section detailing why </w:t>
      </w:r>
      <w:r w:rsidRPr="004A50A5">
        <w:rPr>
          <w:i/>
        </w:rPr>
        <w:t>in situ</w:t>
      </w:r>
      <w:r w:rsidRPr="004A50A5">
        <w:t xml:space="preserve"> preservation of the whole site is not being considere</w:t>
      </w:r>
      <w:r w:rsidR="00C03C58" w:rsidRPr="004A50A5">
        <w:t>d as an option for this project would be expected.</w:t>
      </w:r>
    </w:p>
    <w:p w14:paraId="4B65A1B7" w14:textId="606C9995" w:rsidR="00C52188" w:rsidRPr="004A50A5" w:rsidRDefault="00C52188" w:rsidP="00C52188">
      <w:pPr>
        <w:pStyle w:val="ListParagraph"/>
        <w:numPr>
          <w:ilvl w:val="0"/>
          <w:numId w:val="3"/>
        </w:numPr>
        <w:ind w:left="426" w:hanging="426"/>
      </w:pPr>
      <w:r w:rsidRPr="004A50A5">
        <w:t>There is some ambiguity surrounding the aims of the project</w:t>
      </w:r>
      <w:r w:rsidR="00587194" w:rsidRPr="004A50A5">
        <w:t>.</w:t>
      </w:r>
      <w:r w:rsidR="00497519" w:rsidRPr="004A50A5">
        <w:t xml:space="preserve"> </w:t>
      </w:r>
      <w:r w:rsidR="00587194" w:rsidRPr="004A50A5">
        <w:t xml:space="preserve">Elements </w:t>
      </w:r>
      <w:r w:rsidR="00497519" w:rsidRPr="004A50A5">
        <w:t>of the project design adopt an evaluative methodology suggesting further intrusive investigation. These approaches do not seem to be conducive or compatible with permission obtained to recover at-risk surface items.</w:t>
      </w:r>
      <w:r w:rsidR="00D605F9" w:rsidRPr="004A50A5">
        <w:t xml:space="preserve"> It should be noted that this permission has subsequently been withdrawn</w:t>
      </w:r>
      <w:r w:rsidR="000951EA" w:rsidRPr="004A50A5">
        <w:t xml:space="preserve"> following an application for Judi</w:t>
      </w:r>
      <w:r w:rsidR="00437F83" w:rsidRPr="004A50A5">
        <w:t>ci</w:t>
      </w:r>
      <w:r w:rsidR="000951EA" w:rsidRPr="004A50A5">
        <w:t>al Review.</w:t>
      </w:r>
    </w:p>
    <w:p w14:paraId="14F9D78E" w14:textId="77777777" w:rsidR="00C52188" w:rsidRPr="004A50A5" w:rsidRDefault="00C52188" w:rsidP="00C52188">
      <w:pPr>
        <w:pStyle w:val="ListParagraph"/>
        <w:numPr>
          <w:ilvl w:val="0"/>
          <w:numId w:val="3"/>
        </w:numPr>
        <w:ind w:left="426" w:hanging="426"/>
      </w:pPr>
      <w:r w:rsidRPr="004A50A5">
        <w:t>If the project is taken as ‘research-oriented’, then from an historical perspective, the PD is not well researched. The ‘Historical Background’ section makes a number of unfounded assumptions (see below).</w:t>
      </w:r>
    </w:p>
    <w:p w14:paraId="4FCF0F8B" w14:textId="77777777" w:rsidR="006F089F" w:rsidRPr="004A50A5" w:rsidRDefault="006F089F" w:rsidP="00C52188">
      <w:pPr>
        <w:pStyle w:val="ListParagraph"/>
        <w:numPr>
          <w:ilvl w:val="0"/>
          <w:numId w:val="3"/>
        </w:numPr>
        <w:ind w:left="426" w:hanging="426"/>
      </w:pPr>
      <w:r w:rsidRPr="004A50A5">
        <w:t>In conservation item 12, no specific conservation laboratory, or associated personnel, has been identified and it is not possible to ascertain whether this critical part of the programme would be compliant with the Annex. The MHF must answer the question: what organisation or facility has been contracted to undertake conservation work, and what will be the budget cost?</w:t>
      </w:r>
    </w:p>
    <w:p w14:paraId="559420BC" w14:textId="1A45CB6A" w:rsidR="00370284" w:rsidRPr="004A50A5" w:rsidRDefault="00370284" w:rsidP="00370284">
      <w:pPr>
        <w:pStyle w:val="ListParagraph"/>
        <w:numPr>
          <w:ilvl w:val="0"/>
          <w:numId w:val="3"/>
        </w:numPr>
        <w:ind w:left="426" w:hanging="436"/>
      </w:pPr>
      <w:r w:rsidRPr="004A50A5">
        <w:t>The announcement of 24</w:t>
      </w:r>
      <w:r w:rsidRPr="004A50A5">
        <w:rPr>
          <w:vertAlign w:val="superscript"/>
        </w:rPr>
        <w:t>th</w:t>
      </w:r>
      <w:r w:rsidR="002C430C" w:rsidRPr="004A50A5">
        <w:t xml:space="preserve"> </w:t>
      </w:r>
      <w:r w:rsidRPr="004A50A5">
        <w:t xml:space="preserve">October 2014 by </w:t>
      </w:r>
      <w:r w:rsidR="00792273" w:rsidRPr="004A50A5">
        <w:t xml:space="preserve">which </w:t>
      </w:r>
      <w:r w:rsidRPr="004A50A5">
        <w:t xml:space="preserve">Mr Fallon gave permission </w:t>
      </w:r>
      <w:r w:rsidR="00792273" w:rsidRPr="004A50A5">
        <w:t xml:space="preserve">is </w:t>
      </w:r>
      <w:r w:rsidRPr="004A50A5">
        <w:t xml:space="preserve">as follows:  </w:t>
      </w:r>
      <w:r w:rsidR="00792273" w:rsidRPr="004A50A5">
        <w:rPr>
          <w:i/>
        </w:rPr>
        <w:t>“</w:t>
      </w:r>
      <w:r w:rsidRPr="004A50A5">
        <w:rPr>
          <w:i/>
        </w:rPr>
        <w:t>Specifically, MHF has been granted permission to recover at-risk surface items from the wreck site in accordance with the Project Design once the necessary licence has been issued by the MMO”</w:t>
      </w:r>
      <w:r w:rsidR="002C430C" w:rsidRPr="004A50A5">
        <w:rPr>
          <w:i/>
        </w:rPr>
        <w:t>.</w:t>
      </w:r>
      <w:r w:rsidRPr="004A50A5">
        <w:t xml:space="preserve"> This permission would only appear to include the recovery of circa 44 surface cannon included in Phase 3 Stages 1-3 inclusive</w:t>
      </w:r>
      <w:r w:rsidR="00F87784" w:rsidRPr="004A50A5">
        <w:t xml:space="preserve"> (Sections 7.2.2 to 7.2.4 of </w:t>
      </w:r>
      <w:r w:rsidRPr="004A50A5">
        <w:t>7.2</w:t>
      </w:r>
      <w:r w:rsidR="005B5D6B" w:rsidRPr="004A50A5">
        <w:t xml:space="preserve"> </w:t>
      </w:r>
      <w:r w:rsidRPr="004A50A5">
        <w:t>Phase 3</w:t>
      </w:r>
      <w:r w:rsidR="00F87784" w:rsidRPr="004A50A5">
        <w:t>:</w:t>
      </w:r>
      <w:r w:rsidRPr="004A50A5">
        <w:t xml:space="preserve"> Recovery of Surface Cannon and Artefacts at Risk) in the PD. However it should not include recovery of 34 potential near-surface cannon (Phase 3 - Stage 4) and 28 potential near-surface cannon (Phase 3 - Stage 5) which are not exposed and thus not at risk. </w:t>
      </w:r>
    </w:p>
    <w:p w14:paraId="2EB8B2F3" w14:textId="77777777" w:rsidR="00370284" w:rsidRPr="004A50A5" w:rsidRDefault="00370284" w:rsidP="00370284">
      <w:pPr>
        <w:pStyle w:val="ListParagraph"/>
        <w:numPr>
          <w:ilvl w:val="0"/>
          <w:numId w:val="3"/>
        </w:numPr>
        <w:ind w:left="426" w:hanging="436"/>
      </w:pPr>
      <w:r w:rsidRPr="004A50A5">
        <w:t xml:space="preserve">The extensive and potentially deep excavations proposed in Phases 4 and 5 entitled </w:t>
      </w:r>
      <w:r w:rsidRPr="004A50A5">
        <w:rPr>
          <w:i/>
        </w:rPr>
        <w:t>“targeted trial excavations of a select number of trenches to assess the site’s archaeological stratigraphy and artefact and hull preservation levels”</w:t>
      </w:r>
      <w:r w:rsidRPr="004A50A5">
        <w:t xml:space="preserve"> has nothing to do with mitigating any perceived risk to the site and has perhaps more to do with attempting to locate any bullion carried on board. Phases 4 and 5 should, therefore, not be permitted</w:t>
      </w:r>
      <w:r w:rsidR="000D6EAE" w:rsidRPr="004A50A5">
        <w:t xml:space="preserve"> in any eventuality</w:t>
      </w:r>
      <w:r w:rsidRPr="004A50A5">
        <w:t>.</w:t>
      </w:r>
    </w:p>
    <w:p w14:paraId="7EB5E845" w14:textId="751BD6F1" w:rsidR="00CA0749" w:rsidRPr="004A50A5" w:rsidRDefault="00CA0749" w:rsidP="00370284">
      <w:pPr>
        <w:pStyle w:val="ListParagraph"/>
        <w:numPr>
          <w:ilvl w:val="0"/>
          <w:numId w:val="3"/>
        </w:numPr>
        <w:ind w:left="426" w:hanging="436"/>
      </w:pPr>
      <w:r w:rsidRPr="004A50A5">
        <w:t xml:space="preserve">There are no proposals for external monitoring nor any evidence that an independent inspection of the site has been made. Both are normal for the excavation of a protected wreck site. </w:t>
      </w:r>
      <w:r w:rsidR="00FB79B1" w:rsidRPr="004A50A5">
        <w:rPr>
          <w:rFonts w:eastAsia="Times New Roman"/>
          <w:color w:val="000000"/>
          <w:szCs w:val="24"/>
        </w:rPr>
        <w:t xml:space="preserve"> </w:t>
      </w:r>
      <w:r w:rsidR="00DC3556" w:rsidRPr="004A50A5">
        <w:rPr>
          <w:rFonts w:eastAsia="Times New Roman"/>
          <w:color w:val="000000"/>
          <w:szCs w:val="24"/>
        </w:rPr>
        <w:t>The JNAPC recommends that a</w:t>
      </w:r>
      <w:r w:rsidR="00FB79B1" w:rsidRPr="004A50A5">
        <w:rPr>
          <w:rFonts w:eastAsia="Times New Roman"/>
          <w:color w:val="000000"/>
          <w:szCs w:val="24"/>
        </w:rPr>
        <w:t xml:space="preserve">ny Marine Licence that may be granted to the MHF should include a condition requiring monitoring of </w:t>
      </w:r>
      <w:r w:rsidR="00DC3556" w:rsidRPr="004A50A5">
        <w:rPr>
          <w:rFonts w:eastAsia="Times New Roman"/>
          <w:color w:val="000000"/>
          <w:szCs w:val="24"/>
        </w:rPr>
        <w:t>all</w:t>
      </w:r>
      <w:r w:rsidR="00FB79B1" w:rsidRPr="004A50A5">
        <w:rPr>
          <w:rFonts w:eastAsia="Times New Roman"/>
          <w:color w:val="000000"/>
          <w:szCs w:val="24"/>
        </w:rPr>
        <w:t xml:space="preserve"> activities by independent archaeologists</w:t>
      </w:r>
      <w:r w:rsidR="00E2558A" w:rsidRPr="004A50A5">
        <w:rPr>
          <w:rStyle w:val="FootnoteReference"/>
          <w:rFonts w:eastAsia="Times New Roman"/>
          <w:color w:val="000000"/>
          <w:szCs w:val="24"/>
        </w:rPr>
        <w:footnoteReference w:id="1"/>
      </w:r>
      <w:r w:rsidR="00FD760F" w:rsidRPr="004A50A5">
        <w:rPr>
          <w:rFonts w:eastAsia="Times New Roman"/>
          <w:color w:val="000000"/>
          <w:szCs w:val="24"/>
        </w:rPr>
        <w:t>.</w:t>
      </w:r>
    </w:p>
    <w:p w14:paraId="239C90A9" w14:textId="21A81C6C" w:rsidR="00CA0749" w:rsidRPr="004A50A5" w:rsidRDefault="005B5D6B" w:rsidP="00CA0749">
      <w:pPr>
        <w:pStyle w:val="ListParagraph"/>
        <w:numPr>
          <w:ilvl w:val="0"/>
          <w:numId w:val="3"/>
        </w:numPr>
        <w:ind w:left="426" w:hanging="426"/>
      </w:pPr>
      <w:r w:rsidRPr="004A50A5">
        <w:lastRenderedPageBreak/>
        <w:t xml:space="preserve">MHF </w:t>
      </w:r>
      <w:r w:rsidR="00CA0749" w:rsidRPr="004A50A5">
        <w:t>claim</w:t>
      </w:r>
      <w:r w:rsidR="00E5036F" w:rsidRPr="004A50A5">
        <w:t>s</w:t>
      </w:r>
      <w:r w:rsidR="00CA0749" w:rsidRPr="004A50A5">
        <w:t xml:space="preserve"> that the site is under threat, but the documentation does not provide the evidence that show</w:t>
      </w:r>
      <w:r w:rsidR="00E5036F" w:rsidRPr="004A50A5">
        <w:t>s</w:t>
      </w:r>
      <w:r w:rsidR="00CA0749" w:rsidRPr="004A50A5">
        <w:t xml:space="preserve"> that a threat exists</w:t>
      </w:r>
      <w:r w:rsidR="00792273" w:rsidRPr="004A50A5">
        <w:t xml:space="preserve"> or</w:t>
      </w:r>
      <w:r w:rsidR="00CA0749" w:rsidRPr="004A50A5">
        <w:t xml:space="preserve"> defines the exact nature of the threat. Without understanding the nature of the threat it is impossible to ascertain if the proposals adequately mitigate it.</w:t>
      </w:r>
    </w:p>
    <w:p w14:paraId="486664F5" w14:textId="77777777" w:rsidR="001F3FBA" w:rsidRPr="004A50A5" w:rsidRDefault="001F3FBA" w:rsidP="001F3FBA">
      <w:pPr>
        <w:pStyle w:val="ListParagraph"/>
        <w:numPr>
          <w:ilvl w:val="0"/>
          <w:numId w:val="3"/>
        </w:numPr>
        <w:ind w:left="426" w:hanging="426"/>
      </w:pPr>
      <w:r w:rsidRPr="004A50A5">
        <w:rPr>
          <w:lang w:val="en-US"/>
        </w:rPr>
        <w:t>No museum has been identified that will take the collection. This is a threat in itself as without a final repository the fate of the collection cannot be assured. It is noticeable that the documentation also includes discussion of the disposal of archaeological material.</w:t>
      </w:r>
    </w:p>
    <w:p w14:paraId="1B3BE25F" w14:textId="77777777" w:rsidR="001F3FBA" w:rsidRPr="004A50A5" w:rsidRDefault="001F3FBA" w:rsidP="00CA0749">
      <w:pPr>
        <w:pStyle w:val="ListParagraph"/>
        <w:numPr>
          <w:ilvl w:val="0"/>
          <w:numId w:val="3"/>
        </w:numPr>
        <w:ind w:left="426" w:hanging="426"/>
      </w:pPr>
      <w:r w:rsidRPr="004A50A5">
        <w:t>There is no reference to the use of well-established professional standards. The recording system would appear to rely in part on propriety software. How is this to be made available to the wider community?</w:t>
      </w:r>
    </w:p>
    <w:p w14:paraId="63682868" w14:textId="77777777" w:rsidR="001F3FBA" w:rsidRPr="004A50A5" w:rsidRDefault="001F3FBA" w:rsidP="00CA0749">
      <w:pPr>
        <w:pStyle w:val="ListParagraph"/>
        <w:numPr>
          <w:ilvl w:val="0"/>
          <w:numId w:val="3"/>
        </w:numPr>
        <w:ind w:left="426" w:hanging="426"/>
      </w:pPr>
      <w:r w:rsidRPr="004A50A5">
        <w:t xml:space="preserve">It is suggested that the MHF Scientific </w:t>
      </w:r>
      <w:r w:rsidR="00D605F9" w:rsidRPr="004A50A5">
        <w:t xml:space="preserve">Committee </w:t>
      </w:r>
      <w:r w:rsidRPr="004A50A5">
        <w:t xml:space="preserve">will </w:t>
      </w:r>
      <w:r w:rsidR="00D605F9" w:rsidRPr="004A50A5">
        <w:t xml:space="preserve">play </w:t>
      </w:r>
      <w:r w:rsidRPr="004A50A5">
        <w:t xml:space="preserve">a key part in the project. The chair of the </w:t>
      </w:r>
      <w:r w:rsidR="00757FE6" w:rsidRPr="004A50A5">
        <w:t>C</w:t>
      </w:r>
      <w:r w:rsidR="00D605F9" w:rsidRPr="004A50A5">
        <w:t xml:space="preserve">ommittee </w:t>
      </w:r>
      <w:r w:rsidRPr="004A50A5">
        <w:t xml:space="preserve">sadly passed away </w:t>
      </w:r>
      <w:r w:rsidR="00D605F9" w:rsidRPr="004A50A5">
        <w:t>in April 2015</w:t>
      </w:r>
      <w:r w:rsidRPr="004A50A5">
        <w:t xml:space="preserve"> and has not as far as is known been replaced. Who is to chair the </w:t>
      </w:r>
      <w:r w:rsidR="00F87784" w:rsidRPr="004A50A5">
        <w:t>C</w:t>
      </w:r>
      <w:r w:rsidR="00D605F9" w:rsidRPr="004A50A5">
        <w:t xml:space="preserve">ommittee </w:t>
      </w:r>
      <w:r w:rsidRPr="004A50A5">
        <w:t>during this process?</w:t>
      </w:r>
    </w:p>
    <w:p w14:paraId="2DE30C14" w14:textId="77777777" w:rsidR="001F3FBA" w:rsidRPr="004A50A5" w:rsidRDefault="001F3FBA" w:rsidP="00CA0749">
      <w:pPr>
        <w:pStyle w:val="ListParagraph"/>
        <w:numPr>
          <w:ilvl w:val="0"/>
          <w:numId w:val="3"/>
        </w:numPr>
        <w:ind w:left="426" w:hanging="426"/>
      </w:pPr>
      <w:r w:rsidRPr="004A50A5">
        <w:t>If Phases 1A, 1B &amp; 2 have been completed as the Program</w:t>
      </w:r>
      <w:r w:rsidR="00D605F9" w:rsidRPr="004A50A5">
        <w:t>me</w:t>
      </w:r>
      <w:r w:rsidRPr="004A50A5">
        <w:t xml:space="preserve"> of Works states, then only Phase 3 is partly </w:t>
      </w:r>
      <w:r w:rsidR="00D605F9" w:rsidRPr="004A50A5">
        <w:t xml:space="preserve">compliant </w:t>
      </w:r>
      <w:r w:rsidRPr="004A50A5">
        <w:t>with the permission granted by the Secretary of State and much of the work proposed for this phase exceed</w:t>
      </w:r>
      <w:r w:rsidR="00792273" w:rsidRPr="004A50A5">
        <w:t>s</w:t>
      </w:r>
      <w:r w:rsidRPr="004A50A5">
        <w:t xml:space="preserve"> that permission. Phases 4 &amp; 5 exceed the permission granted as they include sub</w:t>
      </w:r>
      <w:r w:rsidR="00D605F9" w:rsidRPr="004A50A5">
        <w:t>-</w:t>
      </w:r>
      <w:r w:rsidRPr="004A50A5">
        <w:t xml:space="preserve">surface intervention for which no permission has been granted. </w:t>
      </w:r>
    </w:p>
    <w:p w14:paraId="7A531D20" w14:textId="77777777" w:rsidR="001F3FBA" w:rsidRPr="004A50A5" w:rsidRDefault="001F3FBA" w:rsidP="00CA0749">
      <w:pPr>
        <w:pStyle w:val="ListParagraph"/>
        <w:numPr>
          <w:ilvl w:val="0"/>
          <w:numId w:val="3"/>
        </w:numPr>
        <w:ind w:left="426" w:hanging="426"/>
      </w:pPr>
      <w:r w:rsidRPr="004A50A5">
        <w:t>The work would appear to be largely focused on the recovery of cannon from the site and classifies potential cannon buried ‘near surface’ as at risk, but does not explain what that risk is. If the buried and previously removed cannon are included in the recovery</w:t>
      </w:r>
      <w:r w:rsidR="005F5BF2" w:rsidRPr="004A50A5">
        <w:t>,</w:t>
      </w:r>
      <w:r w:rsidRPr="004A50A5">
        <w:t xml:space="preserve"> 96% of the ships armament (its reason for existence) will have been removed from the site. There would appear to be no plan to undertake the work required to establish the </w:t>
      </w:r>
      <w:r w:rsidR="000D30FE" w:rsidRPr="004A50A5">
        <w:t xml:space="preserve">relationship of the </w:t>
      </w:r>
      <w:r w:rsidRPr="004A50A5">
        <w:t>cannons with the site as a whole. The site is that of a warship whose armament was the primary reason for her construction and use</w:t>
      </w:r>
      <w:r w:rsidR="000D30FE" w:rsidRPr="004A50A5">
        <w:t>.</w:t>
      </w:r>
      <w:r w:rsidRPr="004A50A5">
        <w:t xml:space="preserve"> </w:t>
      </w:r>
      <w:r w:rsidR="000D30FE" w:rsidRPr="004A50A5">
        <w:t>R</w:t>
      </w:r>
      <w:r w:rsidRPr="004A50A5">
        <w:t>emoving this armament without properly establishing and understanding its relationship with the rest of the site will remove much of the archaeological information which gives the site value. Set against this</w:t>
      </w:r>
      <w:r w:rsidR="005F5BF2" w:rsidRPr="004A50A5">
        <w:t>,</w:t>
      </w:r>
      <w:r w:rsidRPr="004A50A5">
        <w:t xml:space="preserve"> the</w:t>
      </w:r>
      <w:r w:rsidR="005F5BF2" w:rsidRPr="004A50A5">
        <w:t xml:space="preserve"> conjectured</w:t>
      </w:r>
      <w:r w:rsidRPr="004A50A5">
        <w:t xml:space="preserve"> small risk that a number of guns will be looted would seem minimal.</w:t>
      </w:r>
    </w:p>
    <w:p w14:paraId="619147DD" w14:textId="2E6010D2" w:rsidR="005F5BF2" w:rsidRPr="004A50A5" w:rsidRDefault="005F5BF2" w:rsidP="005F5BF2">
      <w:pPr>
        <w:pStyle w:val="ListParagraph"/>
        <w:numPr>
          <w:ilvl w:val="0"/>
          <w:numId w:val="3"/>
        </w:numPr>
        <w:ind w:left="426" w:hanging="426"/>
      </w:pPr>
      <w:r w:rsidRPr="004A50A5">
        <w:t>Permission (now withdrawn) was given to recover ‘at</w:t>
      </w:r>
      <w:r w:rsidR="00E5036F" w:rsidRPr="004A50A5">
        <w:t>-</w:t>
      </w:r>
      <w:r w:rsidRPr="004A50A5">
        <w:t>risk’ surface items. The documentation appear</w:t>
      </w:r>
      <w:r w:rsidR="00CB0E13" w:rsidRPr="004A50A5">
        <w:t>s</w:t>
      </w:r>
      <w:r w:rsidRPr="004A50A5">
        <w:t xml:space="preserve"> to have extended that permission to include </w:t>
      </w:r>
      <w:r w:rsidR="00CB0E13" w:rsidRPr="004A50A5">
        <w:t xml:space="preserve">intrusive </w:t>
      </w:r>
      <w:r w:rsidRPr="004A50A5">
        <w:t xml:space="preserve">works to a 1m </w:t>
      </w:r>
      <w:r w:rsidR="00CB0E13" w:rsidRPr="004A50A5">
        <w:t>depth below the seabed</w:t>
      </w:r>
      <w:r w:rsidRPr="004A50A5">
        <w:t xml:space="preserve"> or in exceptional cases to a depth of 3m with the consent of the MHF Scientific </w:t>
      </w:r>
      <w:r w:rsidR="00C86A15" w:rsidRPr="004A50A5">
        <w:t>Committee</w:t>
      </w:r>
      <w:r w:rsidRPr="004A50A5">
        <w:t xml:space="preserve">. In UK maritime archaeological licensee terms, ‘surface recovery’ is restricted to the recovery of archaeological material exposed on the seabed that can be removed without significant disturbance of any underlying archaeological material or sediments. There is good reason for this; digging holes into sand will require the sides of the holes to be battered back to a seabed sediment’s angle of repose to prevent the sides from constantly slumping or collapsing. Wet sand has an </w:t>
      </w:r>
      <w:r w:rsidR="00C86A15" w:rsidRPr="004A50A5">
        <w:t xml:space="preserve">angle </w:t>
      </w:r>
      <w:r w:rsidRPr="004A50A5">
        <w:t>of repose which, dependent upon the nature of sand on site, will be somewhere between 1 in 2 and 1 in 5</w:t>
      </w:r>
      <w:r w:rsidR="000D30FE" w:rsidRPr="004A50A5">
        <w:t>.</w:t>
      </w:r>
      <w:r w:rsidRPr="004A50A5">
        <w:t xml:space="preserve"> The various sizes of hole that will be created are shown in the table below.</w:t>
      </w:r>
    </w:p>
    <w:tbl>
      <w:tblPr>
        <w:tblW w:w="8646"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42"/>
        <w:gridCol w:w="1701"/>
        <w:gridCol w:w="1701"/>
        <w:gridCol w:w="1701"/>
        <w:gridCol w:w="1701"/>
      </w:tblGrid>
      <w:tr w:rsidR="00AD650F" w:rsidRPr="004A50A5" w14:paraId="3182F159" w14:textId="77777777" w:rsidTr="001C6B70">
        <w:tc>
          <w:tcPr>
            <w:tcW w:w="1842" w:type="dxa"/>
            <w:tcBorders>
              <w:top w:val="single" w:sz="4" w:space="0" w:color="000000"/>
              <w:left w:val="single" w:sz="4" w:space="0" w:color="000000"/>
              <w:bottom w:val="single" w:sz="4" w:space="0" w:color="000000"/>
              <w:right w:val="single" w:sz="4" w:space="0" w:color="000000"/>
            </w:tcBorders>
            <w:hideMark/>
          </w:tcPr>
          <w:p w14:paraId="1D7ED137" w14:textId="77777777" w:rsidR="005F5BF2" w:rsidRPr="004A50A5" w:rsidRDefault="005F5BF2" w:rsidP="001C6B70">
            <w:pPr>
              <w:pStyle w:val="ecxmsonormal"/>
              <w:spacing w:before="2"/>
              <w:jc w:val="both"/>
              <w:rPr>
                <w:rFonts w:ascii="Calibri" w:hAnsi="Calibri"/>
                <w:lang w:val="en-US"/>
              </w:rPr>
            </w:pPr>
            <w:r w:rsidRPr="004A50A5">
              <w:rPr>
                <w:rFonts w:ascii="Calibri" w:hAnsi="Calibri"/>
                <w:lang w:val="en-US"/>
              </w:rPr>
              <w:t>Slope</w:t>
            </w:r>
          </w:p>
        </w:tc>
        <w:tc>
          <w:tcPr>
            <w:tcW w:w="3402" w:type="dxa"/>
            <w:gridSpan w:val="2"/>
            <w:tcBorders>
              <w:top w:val="single" w:sz="4" w:space="0" w:color="000000"/>
              <w:left w:val="single" w:sz="4" w:space="0" w:color="000000"/>
              <w:bottom w:val="single" w:sz="4" w:space="0" w:color="000000"/>
              <w:right w:val="single" w:sz="4" w:space="0" w:color="000000"/>
            </w:tcBorders>
            <w:hideMark/>
          </w:tcPr>
          <w:p w14:paraId="252CDBFC"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1 in 2</w:t>
            </w:r>
          </w:p>
        </w:tc>
        <w:tc>
          <w:tcPr>
            <w:tcW w:w="3402" w:type="dxa"/>
            <w:gridSpan w:val="2"/>
            <w:tcBorders>
              <w:top w:val="single" w:sz="4" w:space="0" w:color="000000"/>
              <w:left w:val="single" w:sz="4" w:space="0" w:color="000000"/>
              <w:bottom w:val="single" w:sz="4" w:space="0" w:color="000000"/>
              <w:right w:val="single" w:sz="4" w:space="0" w:color="000000"/>
            </w:tcBorders>
            <w:hideMark/>
          </w:tcPr>
          <w:p w14:paraId="45002472"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1 in 5</w:t>
            </w:r>
          </w:p>
        </w:tc>
      </w:tr>
      <w:tr w:rsidR="00AD650F" w:rsidRPr="004A50A5" w14:paraId="08A8C4AF" w14:textId="77777777" w:rsidTr="001C6B70">
        <w:tc>
          <w:tcPr>
            <w:tcW w:w="1842" w:type="dxa"/>
            <w:tcBorders>
              <w:top w:val="single" w:sz="4" w:space="0" w:color="000000"/>
              <w:left w:val="single" w:sz="4" w:space="0" w:color="000000"/>
              <w:bottom w:val="single" w:sz="4" w:space="0" w:color="000000"/>
              <w:right w:val="single" w:sz="4" w:space="0" w:color="000000"/>
            </w:tcBorders>
            <w:hideMark/>
          </w:tcPr>
          <w:p w14:paraId="0771A533" w14:textId="77777777" w:rsidR="005F5BF2" w:rsidRPr="004A50A5" w:rsidRDefault="005F5BF2" w:rsidP="001C6B70">
            <w:pPr>
              <w:pStyle w:val="ecxmsonormal"/>
              <w:spacing w:before="2"/>
              <w:jc w:val="both"/>
              <w:rPr>
                <w:rFonts w:ascii="Calibri" w:hAnsi="Calibri"/>
                <w:lang w:val="en-US"/>
              </w:rPr>
            </w:pPr>
            <w:r w:rsidRPr="004A50A5">
              <w:rPr>
                <w:rFonts w:ascii="Calibri" w:hAnsi="Calibri"/>
                <w:lang w:val="en-US"/>
              </w:rPr>
              <w:t>Depth of hole</w:t>
            </w:r>
          </w:p>
        </w:tc>
        <w:tc>
          <w:tcPr>
            <w:tcW w:w="1701" w:type="dxa"/>
            <w:tcBorders>
              <w:top w:val="single" w:sz="4" w:space="0" w:color="000000"/>
              <w:left w:val="single" w:sz="4" w:space="0" w:color="000000"/>
              <w:bottom w:val="single" w:sz="4" w:space="0" w:color="000000"/>
              <w:right w:val="single" w:sz="4" w:space="0" w:color="000000"/>
            </w:tcBorders>
            <w:hideMark/>
          </w:tcPr>
          <w:p w14:paraId="2DDB3C0B"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1m</w:t>
            </w:r>
          </w:p>
        </w:tc>
        <w:tc>
          <w:tcPr>
            <w:tcW w:w="1701" w:type="dxa"/>
            <w:tcBorders>
              <w:top w:val="single" w:sz="4" w:space="0" w:color="000000"/>
              <w:left w:val="single" w:sz="4" w:space="0" w:color="000000"/>
              <w:bottom w:val="single" w:sz="4" w:space="0" w:color="000000"/>
              <w:right w:val="single" w:sz="4" w:space="0" w:color="000000"/>
            </w:tcBorders>
            <w:hideMark/>
          </w:tcPr>
          <w:p w14:paraId="4E9B3368"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3m</w:t>
            </w:r>
          </w:p>
        </w:tc>
        <w:tc>
          <w:tcPr>
            <w:tcW w:w="1701" w:type="dxa"/>
            <w:tcBorders>
              <w:top w:val="single" w:sz="4" w:space="0" w:color="000000"/>
              <w:left w:val="single" w:sz="4" w:space="0" w:color="000000"/>
              <w:bottom w:val="single" w:sz="4" w:space="0" w:color="000000"/>
              <w:right w:val="single" w:sz="4" w:space="0" w:color="000000"/>
            </w:tcBorders>
            <w:hideMark/>
          </w:tcPr>
          <w:p w14:paraId="33100C93"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1m</w:t>
            </w:r>
          </w:p>
        </w:tc>
        <w:tc>
          <w:tcPr>
            <w:tcW w:w="1701" w:type="dxa"/>
            <w:tcBorders>
              <w:top w:val="single" w:sz="4" w:space="0" w:color="000000"/>
              <w:left w:val="single" w:sz="4" w:space="0" w:color="000000"/>
              <w:bottom w:val="single" w:sz="4" w:space="0" w:color="000000"/>
              <w:right w:val="single" w:sz="4" w:space="0" w:color="000000"/>
            </w:tcBorders>
            <w:hideMark/>
          </w:tcPr>
          <w:p w14:paraId="09BF3D8B"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3m</w:t>
            </w:r>
          </w:p>
        </w:tc>
      </w:tr>
      <w:tr w:rsidR="00AD650F" w:rsidRPr="004A50A5" w14:paraId="63C5092F" w14:textId="77777777" w:rsidTr="001C6B70">
        <w:tc>
          <w:tcPr>
            <w:tcW w:w="1842" w:type="dxa"/>
            <w:tcBorders>
              <w:top w:val="single" w:sz="4" w:space="0" w:color="000000"/>
              <w:left w:val="single" w:sz="4" w:space="0" w:color="000000"/>
              <w:bottom w:val="single" w:sz="4" w:space="0" w:color="000000"/>
              <w:right w:val="single" w:sz="4" w:space="0" w:color="000000"/>
            </w:tcBorders>
            <w:hideMark/>
          </w:tcPr>
          <w:p w14:paraId="4D8E101E" w14:textId="77777777" w:rsidR="005F5BF2" w:rsidRPr="004A50A5" w:rsidRDefault="005F5BF2" w:rsidP="001C6B70">
            <w:pPr>
              <w:pStyle w:val="ecxmsonormal"/>
              <w:spacing w:before="2"/>
              <w:jc w:val="both"/>
              <w:rPr>
                <w:rFonts w:ascii="Calibri" w:hAnsi="Calibri"/>
                <w:lang w:val="en-US"/>
              </w:rPr>
            </w:pPr>
            <w:r w:rsidRPr="004A50A5">
              <w:rPr>
                <w:rFonts w:ascii="Calibri" w:hAnsi="Calibri"/>
                <w:lang w:val="en-US"/>
              </w:rPr>
              <w:t>Diameter</w:t>
            </w:r>
          </w:p>
        </w:tc>
        <w:tc>
          <w:tcPr>
            <w:tcW w:w="1701" w:type="dxa"/>
            <w:tcBorders>
              <w:top w:val="single" w:sz="4" w:space="0" w:color="000000"/>
              <w:left w:val="single" w:sz="4" w:space="0" w:color="000000"/>
              <w:bottom w:val="single" w:sz="4" w:space="0" w:color="000000"/>
              <w:right w:val="single" w:sz="4" w:space="0" w:color="000000"/>
            </w:tcBorders>
            <w:hideMark/>
          </w:tcPr>
          <w:p w14:paraId="5E0D1E9F"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4m</w:t>
            </w:r>
          </w:p>
        </w:tc>
        <w:tc>
          <w:tcPr>
            <w:tcW w:w="1701" w:type="dxa"/>
            <w:tcBorders>
              <w:top w:val="single" w:sz="4" w:space="0" w:color="000000"/>
              <w:left w:val="single" w:sz="4" w:space="0" w:color="000000"/>
              <w:bottom w:val="single" w:sz="4" w:space="0" w:color="000000"/>
              <w:right w:val="single" w:sz="4" w:space="0" w:color="000000"/>
            </w:tcBorders>
            <w:hideMark/>
          </w:tcPr>
          <w:p w14:paraId="385C9DCB"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12m</w:t>
            </w:r>
          </w:p>
        </w:tc>
        <w:tc>
          <w:tcPr>
            <w:tcW w:w="1701" w:type="dxa"/>
            <w:tcBorders>
              <w:top w:val="single" w:sz="4" w:space="0" w:color="000000"/>
              <w:left w:val="single" w:sz="4" w:space="0" w:color="000000"/>
              <w:bottom w:val="single" w:sz="4" w:space="0" w:color="000000"/>
              <w:right w:val="single" w:sz="4" w:space="0" w:color="000000"/>
            </w:tcBorders>
            <w:hideMark/>
          </w:tcPr>
          <w:p w14:paraId="541E3B07"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10m</w:t>
            </w:r>
          </w:p>
        </w:tc>
        <w:tc>
          <w:tcPr>
            <w:tcW w:w="1701" w:type="dxa"/>
            <w:tcBorders>
              <w:top w:val="single" w:sz="4" w:space="0" w:color="000000"/>
              <w:left w:val="single" w:sz="4" w:space="0" w:color="000000"/>
              <w:bottom w:val="single" w:sz="4" w:space="0" w:color="000000"/>
              <w:right w:val="single" w:sz="4" w:space="0" w:color="000000"/>
            </w:tcBorders>
            <w:hideMark/>
          </w:tcPr>
          <w:p w14:paraId="26CB63EC"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30m</w:t>
            </w:r>
          </w:p>
        </w:tc>
      </w:tr>
      <w:tr w:rsidR="00AD650F" w:rsidRPr="004A50A5" w14:paraId="0CD87788" w14:textId="77777777" w:rsidTr="001C6B70">
        <w:tc>
          <w:tcPr>
            <w:tcW w:w="1842" w:type="dxa"/>
            <w:tcBorders>
              <w:top w:val="single" w:sz="4" w:space="0" w:color="000000"/>
              <w:left w:val="single" w:sz="4" w:space="0" w:color="000000"/>
              <w:bottom w:val="single" w:sz="4" w:space="0" w:color="000000"/>
              <w:right w:val="single" w:sz="4" w:space="0" w:color="000000"/>
            </w:tcBorders>
            <w:hideMark/>
          </w:tcPr>
          <w:p w14:paraId="18FE2F9C" w14:textId="77777777" w:rsidR="005F5BF2" w:rsidRPr="004A50A5" w:rsidRDefault="005F5BF2" w:rsidP="001C6B70">
            <w:pPr>
              <w:pStyle w:val="ecxmsonormal"/>
              <w:spacing w:before="2"/>
              <w:jc w:val="both"/>
              <w:rPr>
                <w:rFonts w:ascii="Calibri" w:hAnsi="Calibri"/>
                <w:lang w:val="en-US"/>
              </w:rPr>
            </w:pPr>
            <w:r w:rsidRPr="004A50A5">
              <w:rPr>
                <w:rFonts w:ascii="Calibri" w:hAnsi="Calibri"/>
                <w:lang w:val="en-US"/>
              </w:rPr>
              <w:t>Area</w:t>
            </w:r>
          </w:p>
        </w:tc>
        <w:tc>
          <w:tcPr>
            <w:tcW w:w="1701" w:type="dxa"/>
            <w:tcBorders>
              <w:top w:val="single" w:sz="4" w:space="0" w:color="000000"/>
              <w:left w:val="single" w:sz="4" w:space="0" w:color="000000"/>
              <w:bottom w:val="single" w:sz="4" w:space="0" w:color="000000"/>
              <w:right w:val="single" w:sz="4" w:space="0" w:color="000000"/>
            </w:tcBorders>
            <w:hideMark/>
          </w:tcPr>
          <w:p w14:paraId="6A753DD9"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12.5m(sq)</w:t>
            </w:r>
          </w:p>
        </w:tc>
        <w:tc>
          <w:tcPr>
            <w:tcW w:w="1701" w:type="dxa"/>
            <w:tcBorders>
              <w:top w:val="single" w:sz="4" w:space="0" w:color="000000"/>
              <w:left w:val="single" w:sz="4" w:space="0" w:color="000000"/>
              <w:bottom w:val="single" w:sz="4" w:space="0" w:color="000000"/>
              <w:right w:val="single" w:sz="4" w:space="0" w:color="000000"/>
            </w:tcBorders>
            <w:hideMark/>
          </w:tcPr>
          <w:p w14:paraId="2ED2A74B"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113m(sq)</w:t>
            </w:r>
          </w:p>
        </w:tc>
        <w:tc>
          <w:tcPr>
            <w:tcW w:w="1701" w:type="dxa"/>
            <w:tcBorders>
              <w:top w:val="single" w:sz="4" w:space="0" w:color="000000"/>
              <w:left w:val="single" w:sz="4" w:space="0" w:color="000000"/>
              <w:bottom w:val="single" w:sz="4" w:space="0" w:color="000000"/>
              <w:right w:val="single" w:sz="4" w:space="0" w:color="000000"/>
            </w:tcBorders>
            <w:hideMark/>
          </w:tcPr>
          <w:p w14:paraId="6268AC94"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78m(sq)</w:t>
            </w:r>
          </w:p>
        </w:tc>
        <w:tc>
          <w:tcPr>
            <w:tcW w:w="1701" w:type="dxa"/>
            <w:tcBorders>
              <w:top w:val="single" w:sz="4" w:space="0" w:color="000000"/>
              <w:left w:val="single" w:sz="4" w:space="0" w:color="000000"/>
              <w:bottom w:val="single" w:sz="4" w:space="0" w:color="000000"/>
              <w:right w:val="single" w:sz="4" w:space="0" w:color="000000"/>
            </w:tcBorders>
            <w:hideMark/>
          </w:tcPr>
          <w:p w14:paraId="64B19CC7"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707m(sq)</w:t>
            </w:r>
          </w:p>
        </w:tc>
      </w:tr>
      <w:tr w:rsidR="005F5BF2" w:rsidRPr="004A50A5" w14:paraId="092FC449" w14:textId="77777777" w:rsidTr="001C6B70">
        <w:tc>
          <w:tcPr>
            <w:tcW w:w="1842" w:type="dxa"/>
            <w:tcBorders>
              <w:top w:val="single" w:sz="4" w:space="0" w:color="000000"/>
              <w:left w:val="single" w:sz="4" w:space="0" w:color="000000"/>
              <w:bottom w:val="single" w:sz="4" w:space="0" w:color="000000"/>
              <w:right w:val="single" w:sz="4" w:space="0" w:color="000000"/>
            </w:tcBorders>
            <w:hideMark/>
          </w:tcPr>
          <w:p w14:paraId="676E4BD5" w14:textId="77777777" w:rsidR="005F5BF2" w:rsidRPr="004A50A5" w:rsidRDefault="005F5BF2" w:rsidP="001C6B70">
            <w:pPr>
              <w:pStyle w:val="ecxmsonormal"/>
              <w:spacing w:before="2"/>
              <w:jc w:val="both"/>
              <w:rPr>
                <w:rFonts w:ascii="Calibri" w:hAnsi="Calibri"/>
                <w:lang w:val="en-US"/>
              </w:rPr>
            </w:pPr>
            <w:r w:rsidRPr="004A50A5">
              <w:rPr>
                <w:rFonts w:ascii="Calibri" w:hAnsi="Calibri"/>
                <w:lang w:val="en-US"/>
              </w:rPr>
              <w:t>Volume</w:t>
            </w:r>
          </w:p>
        </w:tc>
        <w:tc>
          <w:tcPr>
            <w:tcW w:w="1701" w:type="dxa"/>
            <w:tcBorders>
              <w:top w:val="single" w:sz="4" w:space="0" w:color="000000"/>
              <w:left w:val="single" w:sz="4" w:space="0" w:color="000000"/>
              <w:bottom w:val="single" w:sz="4" w:space="0" w:color="000000"/>
              <w:right w:val="single" w:sz="4" w:space="0" w:color="000000"/>
            </w:tcBorders>
            <w:hideMark/>
          </w:tcPr>
          <w:p w14:paraId="0D6029C3"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4.2m(cu)</w:t>
            </w:r>
          </w:p>
        </w:tc>
        <w:tc>
          <w:tcPr>
            <w:tcW w:w="1701" w:type="dxa"/>
            <w:tcBorders>
              <w:top w:val="single" w:sz="4" w:space="0" w:color="000000"/>
              <w:left w:val="single" w:sz="4" w:space="0" w:color="000000"/>
              <w:bottom w:val="single" w:sz="4" w:space="0" w:color="000000"/>
              <w:right w:val="single" w:sz="4" w:space="0" w:color="000000"/>
            </w:tcBorders>
            <w:hideMark/>
          </w:tcPr>
          <w:p w14:paraId="3D2EC939"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113m(cu)</w:t>
            </w:r>
          </w:p>
        </w:tc>
        <w:tc>
          <w:tcPr>
            <w:tcW w:w="1701" w:type="dxa"/>
            <w:tcBorders>
              <w:top w:val="single" w:sz="4" w:space="0" w:color="000000"/>
              <w:left w:val="single" w:sz="4" w:space="0" w:color="000000"/>
              <w:bottom w:val="single" w:sz="4" w:space="0" w:color="000000"/>
              <w:right w:val="single" w:sz="4" w:space="0" w:color="000000"/>
            </w:tcBorders>
            <w:hideMark/>
          </w:tcPr>
          <w:p w14:paraId="46EA7011"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26m(cu)</w:t>
            </w:r>
          </w:p>
        </w:tc>
        <w:tc>
          <w:tcPr>
            <w:tcW w:w="1701" w:type="dxa"/>
            <w:tcBorders>
              <w:top w:val="single" w:sz="4" w:space="0" w:color="000000"/>
              <w:left w:val="single" w:sz="4" w:space="0" w:color="000000"/>
              <w:bottom w:val="single" w:sz="4" w:space="0" w:color="000000"/>
              <w:right w:val="single" w:sz="4" w:space="0" w:color="000000"/>
            </w:tcBorders>
            <w:hideMark/>
          </w:tcPr>
          <w:p w14:paraId="2ADA0648" w14:textId="77777777" w:rsidR="005F5BF2" w:rsidRPr="004A50A5" w:rsidRDefault="005F5BF2" w:rsidP="001C6B70">
            <w:pPr>
              <w:pStyle w:val="ecxmsonormal"/>
              <w:spacing w:before="2"/>
              <w:jc w:val="center"/>
              <w:rPr>
                <w:rFonts w:ascii="Calibri" w:hAnsi="Calibri"/>
                <w:lang w:val="en-US"/>
              </w:rPr>
            </w:pPr>
            <w:r w:rsidRPr="004A50A5">
              <w:rPr>
                <w:rFonts w:ascii="Calibri" w:hAnsi="Calibri"/>
                <w:lang w:val="en-US"/>
              </w:rPr>
              <w:t>707m(cu)</w:t>
            </w:r>
          </w:p>
        </w:tc>
      </w:tr>
    </w:tbl>
    <w:p w14:paraId="0889ECFB" w14:textId="77777777" w:rsidR="005F5BF2" w:rsidRPr="004A50A5" w:rsidRDefault="005F5BF2" w:rsidP="005F5BF2">
      <w:pPr>
        <w:pStyle w:val="ecxmsonormal"/>
        <w:spacing w:before="2"/>
        <w:jc w:val="both"/>
        <w:rPr>
          <w:rFonts w:ascii="Arial" w:hAnsi="Arial"/>
        </w:rPr>
      </w:pPr>
    </w:p>
    <w:p w14:paraId="2E54FF19" w14:textId="77777777" w:rsidR="005F5BF2" w:rsidRPr="004A50A5" w:rsidRDefault="005F5BF2" w:rsidP="00346B83">
      <w:pPr>
        <w:pStyle w:val="ListParagraph"/>
        <w:numPr>
          <w:ilvl w:val="0"/>
          <w:numId w:val="3"/>
        </w:numPr>
        <w:ind w:left="426" w:hanging="426"/>
      </w:pPr>
      <w:r w:rsidRPr="004A50A5">
        <w:t>In practice the base of the hole will need to be large</w:t>
      </w:r>
      <w:r w:rsidR="00C03C58" w:rsidRPr="004A50A5">
        <w:t>r</w:t>
      </w:r>
      <w:r w:rsidRPr="004A50A5">
        <w:t xml:space="preserve"> than a single point to allow the work to occur and the </w:t>
      </w:r>
      <w:r w:rsidR="00C86A15" w:rsidRPr="004A50A5">
        <w:t xml:space="preserve">presence </w:t>
      </w:r>
      <w:r w:rsidRPr="004A50A5">
        <w:t xml:space="preserve">of structure may provide some shoring effect so the hole may be </w:t>
      </w:r>
      <w:r w:rsidRPr="004A50A5">
        <w:lastRenderedPageBreak/>
        <w:t>smaller</w:t>
      </w:r>
      <w:r w:rsidR="00C86A15" w:rsidRPr="004A50A5">
        <w:t>.</w:t>
      </w:r>
      <w:r w:rsidRPr="004A50A5">
        <w:t xml:space="preserve"> </w:t>
      </w:r>
      <w:r w:rsidR="00C86A15" w:rsidRPr="004A50A5">
        <w:t xml:space="preserve">However </w:t>
      </w:r>
      <w:r w:rsidRPr="004A50A5">
        <w:t>these are large areas</w:t>
      </w:r>
      <w:r w:rsidR="00C86A15" w:rsidRPr="004A50A5">
        <w:t xml:space="preserve"> and </w:t>
      </w:r>
      <w:r w:rsidRPr="004A50A5">
        <w:t>will expose</w:t>
      </w:r>
      <w:r w:rsidR="00C03C58" w:rsidRPr="004A50A5">
        <w:t xml:space="preserve"> very</w:t>
      </w:r>
      <w:r w:rsidRPr="004A50A5">
        <w:t xml:space="preserve"> large volumes of currently buried archaeological material</w:t>
      </w:r>
      <w:r w:rsidR="00C86A15" w:rsidRPr="004A50A5">
        <w:t>,</w:t>
      </w:r>
      <w:r w:rsidRPr="004A50A5">
        <w:t xml:space="preserve"> and hence vastly </w:t>
      </w:r>
      <w:r w:rsidR="00C86A15" w:rsidRPr="004A50A5">
        <w:t xml:space="preserve">increase </w:t>
      </w:r>
      <w:r w:rsidRPr="004A50A5">
        <w:t>the risk to the site. Given the density of cannon on site it will impact on a high proportion of the site</w:t>
      </w:r>
      <w:r w:rsidR="00C03C58" w:rsidRPr="004A50A5">
        <w:t>’</w:t>
      </w:r>
      <w:r w:rsidRPr="004A50A5">
        <w:t>s buried archaeology. The document does not seem to conceive that this will occur, does not set out how this will be managed nor how these substantial holes will back</w:t>
      </w:r>
      <w:r w:rsidR="00C86A15" w:rsidRPr="004A50A5">
        <w:t>-</w:t>
      </w:r>
      <w:r w:rsidRPr="004A50A5">
        <w:t>filled to mitigate the risk to the exposed material.</w:t>
      </w:r>
      <w:r w:rsidR="00C47EE6" w:rsidRPr="004A50A5">
        <w:br/>
      </w:r>
    </w:p>
    <w:p w14:paraId="0DCB387A" w14:textId="1EACFC78" w:rsidR="00497519" w:rsidRPr="004A50A5" w:rsidRDefault="00497519" w:rsidP="00346B83">
      <w:pPr>
        <w:pStyle w:val="ListParagraph"/>
        <w:numPr>
          <w:ilvl w:val="0"/>
          <w:numId w:val="3"/>
        </w:numPr>
        <w:ind w:left="426" w:hanging="426"/>
      </w:pPr>
      <w:r w:rsidRPr="004A50A5">
        <w:rPr>
          <w:u w:val="single"/>
        </w:rPr>
        <w:t>Summary</w:t>
      </w:r>
      <w:r w:rsidRPr="004A50A5">
        <w:t xml:space="preserve">. </w:t>
      </w:r>
      <w:r w:rsidR="002925D8" w:rsidRPr="004A50A5">
        <w:br/>
      </w:r>
      <w:r w:rsidR="00C03C58" w:rsidRPr="004A50A5">
        <w:t xml:space="preserve">The methodological approach of the PD seems to be at odds with the permission (now withdrawn) that was originally granted. This appears to be more than mere mission creep and </w:t>
      </w:r>
      <w:r w:rsidR="001D1F50" w:rsidRPr="004A50A5">
        <w:t xml:space="preserve">the </w:t>
      </w:r>
      <w:r w:rsidR="00757FE6" w:rsidRPr="004A50A5">
        <w:t xml:space="preserve">JNAPC </w:t>
      </w:r>
      <w:r w:rsidR="00414ECD" w:rsidRPr="004A50A5">
        <w:t>continues to have</w:t>
      </w:r>
      <w:r w:rsidR="00621EFE" w:rsidRPr="004A50A5">
        <w:t xml:space="preserve"> concerns</w:t>
      </w:r>
      <w:r w:rsidR="00C03C58" w:rsidRPr="004A50A5">
        <w:t xml:space="preserve"> that the objectives </w:t>
      </w:r>
      <w:r w:rsidR="00621EFE" w:rsidRPr="004A50A5">
        <w:t xml:space="preserve">have been stretched to allow for a </w:t>
      </w:r>
      <w:r w:rsidR="000D30FE" w:rsidRPr="004A50A5">
        <w:t xml:space="preserve">hunt for the </w:t>
      </w:r>
      <w:r w:rsidR="00621EFE" w:rsidRPr="004A50A5">
        <w:t>bullion. These concerns have not been allayed by the release of the PD.</w:t>
      </w:r>
    </w:p>
    <w:p w14:paraId="4842645B" w14:textId="77777777" w:rsidR="00C52188" w:rsidRPr="004A50A5" w:rsidRDefault="00C52188" w:rsidP="00C52188">
      <w:pPr>
        <w:rPr>
          <w:b/>
        </w:rPr>
      </w:pPr>
      <w:r w:rsidRPr="004A50A5">
        <w:rPr>
          <w:b/>
        </w:rPr>
        <w:t>Standards and</w:t>
      </w:r>
      <w:r w:rsidR="0064513F" w:rsidRPr="004A50A5">
        <w:rPr>
          <w:b/>
        </w:rPr>
        <w:t xml:space="preserve"> UK Heritage</w:t>
      </w:r>
      <w:r w:rsidRPr="004A50A5">
        <w:rPr>
          <w:b/>
        </w:rPr>
        <w:t xml:space="preserve"> Policy</w:t>
      </w:r>
    </w:p>
    <w:p w14:paraId="3610CE33" w14:textId="1ABFB2A9" w:rsidR="0064513F" w:rsidRPr="004A50A5" w:rsidRDefault="0064513F" w:rsidP="0079411B">
      <w:pPr>
        <w:pStyle w:val="ListParagraph"/>
        <w:numPr>
          <w:ilvl w:val="0"/>
          <w:numId w:val="2"/>
        </w:numPr>
        <w:ind w:left="426" w:hanging="426"/>
      </w:pPr>
      <w:r w:rsidRPr="004A50A5">
        <w:rPr>
          <w:u w:val="single"/>
        </w:rPr>
        <w:t>Compliance of the Project Design with the Rules of the Annex and UK Heritage Policy</w:t>
      </w:r>
      <w:r w:rsidRPr="004A50A5">
        <w:t xml:space="preserve">. </w:t>
      </w:r>
      <w:r w:rsidR="00E23B63" w:rsidRPr="004A50A5">
        <w:br/>
      </w:r>
      <w:r w:rsidRPr="004A50A5">
        <w:t xml:space="preserve">In </w:t>
      </w:r>
      <w:r w:rsidR="000D30FE" w:rsidRPr="004A50A5">
        <w:t xml:space="preserve">2005 </w:t>
      </w:r>
      <w:r w:rsidRPr="004A50A5">
        <w:t xml:space="preserve">the UK adopted the Rules of the Annex to the UNESCO Convention on the Protection of </w:t>
      </w:r>
      <w:r w:rsidR="000D30FE" w:rsidRPr="004A50A5">
        <w:t xml:space="preserve">the </w:t>
      </w:r>
      <w:r w:rsidRPr="004A50A5">
        <w:t>Underwater Cultural Heritage 2001 (the Convention) as UK UCH policy</w:t>
      </w:r>
      <w:r w:rsidRPr="004A50A5">
        <w:rPr>
          <w:rStyle w:val="FootnoteReference"/>
        </w:rPr>
        <w:footnoteReference w:id="2"/>
      </w:r>
      <w:r w:rsidRPr="004A50A5">
        <w:t>. Additionally the Ministry of Defence (MOD) has repeatedly stated that any project conduct</w:t>
      </w:r>
      <w:r w:rsidR="00FF66AB" w:rsidRPr="004A50A5">
        <w:t xml:space="preserve">ed on the wreck of HMS </w:t>
      </w:r>
      <w:r w:rsidR="00FF66AB" w:rsidRPr="004A50A5">
        <w:rPr>
          <w:i/>
        </w:rPr>
        <w:t>Victory</w:t>
      </w:r>
      <w:r w:rsidR="00FF66AB" w:rsidRPr="004A50A5">
        <w:t xml:space="preserve"> 1744</w:t>
      </w:r>
      <w:r w:rsidRPr="004A50A5">
        <w:t xml:space="preserve"> by the MH</w:t>
      </w:r>
      <w:r w:rsidR="00EF50D8" w:rsidRPr="004A50A5">
        <w:t>F</w:t>
      </w:r>
      <w:r w:rsidRPr="004A50A5">
        <w:t xml:space="preserve"> must comply with the UK’s policy on UCH (and therefore the Rules of the Annex)</w:t>
      </w:r>
      <w:r w:rsidR="00CA1359" w:rsidRPr="004A50A5">
        <w:rPr>
          <w:rStyle w:val="FootnoteReference"/>
        </w:rPr>
        <w:footnoteReference w:id="3"/>
      </w:r>
      <w:r w:rsidRPr="004A50A5">
        <w:t xml:space="preserve">. At the time of the MMO’s public consultation on MHF’s application for a Marine Licence MHF had not put the PD into the public domain. On the </w:t>
      </w:r>
      <w:r w:rsidR="001D1F50" w:rsidRPr="004A50A5">
        <w:t>30</w:t>
      </w:r>
      <w:r w:rsidR="001D1F50" w:rsidRPr="004A50A5">
        <w:rPr>
          <w:vertAlign w:val="superscript"/>
        </w:rPr>
        <w:t>th</w:t>
      </w:r>
      <w:r w:rsidR="001D1F50" w:rsidRPr="004A50A5">
        <w:t xml:space="preserve"> September</w:t>
      </w:r>
      <w:r w:rsidRPr="004A50A5">
        <w:t xml:space="preserve"> 2015 MHF published the PD and an Addendum to the PD. However, also on the </w:t>
      </w:r>
      <w:r w:rsidR="001D1F50" w:rsidRPr="004A50A5">
        <w:t>30</w:t>
      </w:r>
      <w:r w:rsidR="001D1F50" w:rsidRPr="004A50A5">
        <w:rPr>
          <w:vertAlign w:val="superscript"/>
        </w:rPr>
        <w:t>th</w:t>
      </w:r>
      <w:r w:rsidR="001D1F50" w:rsidRPr="004A50A5">
        <w:t xml:space="preserve"> September</w:t>
      </w:r>
      <w:r w:rsidRPr="004A50A5">
        <w:t xml:space="preserve"> 2015, a member of the marine archaeology community obtained, under a</w:t>
      </w:r>
      <w:r w:rsidR="000D30FE" w:rsidRPr="004A50A5">
        <w:t>n</w:t>
      </w:r>
      <w:r w:rsidRPr="004A50A5">
        <w:t xml:space="preserve"> FOI request to MOD, copies of correspondence relating to HMS </w:t>
      </w:r>
      <w:r w:rsidRPr="004A50A5">
        <w:rPr>
          <w:i/>
        </w:rPr>
        <w:t>Victory</w:t>
      </w:r>
      <w:r w:rsidRPr="004A50A5">
        <w:t xml:space="preserve"> 1744 between Lord Lingfield, Chair of MHF, and M</w:t>
      </w:r>
      <w:r w:rsidR="00FF66AB" w:rsidRPr="004A50A5">
        <w:t>r</w:t>
      </w:r>
      <w:r w:rsidRPr="004A50A5">
        <w:t xml:space="preserve"> Fallon, Secretary of State for Defence. JNAPC would particularly draw attention to the letter of </w:t>
      </w:r>
      <w:r w:rsidR="00FF66AB" w:rsidRPr="004A50A5">
        <w:t>25</w:t>
      </w:r>
      <w:r w:rsidR="00FF66AB" w:rsidRPr="004A50A5">
        <w:rPr>
          <w:vertAlign w:val="superscript"/>
        </w:rPr>
        <w:t>th</w:t>
      </w:r>
      <w:r w:rsidR="00FF66AB" w:rsidRPr="004A50A5">
        <w:t xml:space="preserve"> </w:t>
      </w:r>
      <w:r w:rsidRPr="004A50A5">
        <w:t>July 2014 from Lord Lingfield to M</w:t>
      </w:r>
      <w:r w:rsidR="00FF66AB" w:rsidRPr="004A50A5">
        <w:t>r</w:t>
      </w:r>
      <w:r w:rsidRPr="004A50A5">
        <w:t xml:space="preserve"> Fallon and a copy of this letter is attached. This letter</w:t>
      </w:r>
      <w:r w:rsidR="00C44325" w:rsidRPr="004A50A5">
        <w:t xml:space="preserve"> </w:t>
      </w:r>
      <w:r w:rsidR="002C5AFA" w:rsidRPr="004A50A5">
        <w:t>appears</w:t>
      </w:r>
      <w:r w:rsidR="00C44325" w:rsidRPr="004A50A5">
        <w:t xml:space="preserve"> to</w:t>
      </w:r>
      <w:r w:rsidRPr="004A50A5">
        <w:t xml:space="preserve"> confirm that in fact MHF has entered into </w:t>
      </w:r>
      <w:r w:rsidR="00C44325" w:rsidRPr="004A50A5">
        <w:t>the claimed</w:t>
      </w:r>
      <w:r w:rsidRPr="004A50A5">
        <w:t xml:space="preserve"> commercial salvage contract with OME whereby the salvage contractor (OME), in return for its salvage services, would receive 80% of the value of any bullion recovered. </w:t>
      </w:r>
      <w:r w:rsidR="00FF66AB" w:rsidRPr="004A50A5">
        <w:t>T</w:t>
      </w:r>
      <w:r w:rsidRPr="004A50A5">
        <w:t xml:space="preserve">he letter of </w:t>
      </w:r>
      <w:r w:rsidR="00FF66AB" w:rsidRPr="004A50A5">
        <w:t>25</w:t>
      </w:r>
      <w:r w:rsidR="00FF66AB" w:rsidRPr="004A50A5">
        <w:rPr>
          <w:vertAlign w:val="superscript"/>
        </w:rPr>
        <w:t>th</w:t>
      </w:r>
      <w:r w:rsidR="00FF66AB" w:rsidRPr="004A50A5">
        <w:t xml:space="preserve"> </w:t>
      </w:r>
      <w:r w:rsidRPr="004A50A5">
        <w:t xml:space="preserve">July 2014 </w:t>
      </w:r>
      <w:r w:rsidR="00E23B63" w:rsidRPr="004A50A5">
        <w:t xml:space="preserve">is attached </w:t>
      </w:r>
      <w:r w:rsidRPr="004A50A5">
        <w:t>with the relevant passage highlighted in yellow.</w:t>
      </w:r>
    </w:p>
    <w:p w14:paraId="3DC35DE2" w14:textId="77777777" w:rsidR="00C52188" w:rsidRPr="004A50A5" w:rsidRDefault="00C52188" w:rsidP="00653CFC">
      <w:pPr>
        <w:pStyle w:val="ListParagraph"/>
        <w:numPr>
          <w:ilvl w:val="0"/>
          <w:numId w:val="2"/>
        </w:numPr>
        <w:ind w:left="426" w:hanging="426"/>
      </w:pPr>
      <w:r w:rsidRPr="004A50A5">
        <w:t xml:space="preserve">The </w:t>
      </w:r>
      <w:r w:rsidR="00E23B63" w:rsidRPr="004A50A5">
        <w:t xml:space="preserve">PD </w:t>
      </w:r>
      <w:r w:rsidRPr="004A50A5">
        <w:t xml:space="preserve">does not define what is meant by ‘artefact assemblage’. It is worth noting that previous articles </w:t>
      </w:r>
      <w:r w:rsidR="0079411B" w:rsidRPr="004A50A5">
        <w:t xml:space="preserve">have been </w:t>
      </w:r>
      <w:r w:rsidRPr="004A50A5">
        <w:t xml:space="preserve">written by the authors of the PD, where </w:t>
      </w:r>
      <w:r w:rsidR="0079411B" w:rsidRPr="004A50A5">
        <w:t>such a</w:t>
      </w:r>
      <w:r w:rsidRPr="004A50A5">
        <w:t xml:space="preserve"> distinction has been made between ‘unique cultural goods’ and ‘trade goods’</w:t>
      </w:r>
      <w:r w:rsidRPr="004A50A5">
        <w:rPr>
          <w:rStyle w:val="FootnoteReference"/>
        </w:rPr>
        <w:footnoteReference w:id="4"/>
      </w:r>
      <w:r w:rsidRPr="004A50A5">
        <w:t>.  This is a distinction which cannot be drawn on such an easy basis, if at all, and which would be in contravention of the</w:t>
      </w:r>
      <w:r w:rsidR="00073D65" w:rsidRPr="004A50A5">
        <w:t xml:space="preserve"> Rules of the</w:t>
      </w:r>
      <w:r w:rsidRPr="004A50A5">
        <w:t xml:space="preserve"> Annex (see below).</w:t>
      </w:r>
    </w:p>
    <w:p w14:paraId="0AF57B66" w14:textId="4735AE9F" w:rsidR="006F089F" w:rsidRPr="004A50A5" w:rsidRDefault="006F089F" w:rsidP="00653CFC">
      <w:pPr>
        <w:pStyle w:val="ListParagraph"/>
        <w:numPr>
          <w:ilvl w:val="0"/>
          <w:numId w:val="2"/>
        </w:numPr>
        <w:ind w:left="426" w:hanging="426"/>
      </w:pPr>
      <w:r w:rsidRPr="004A50A5">
        <w:t>The letter of 25</w:t>
      </w:r>
      <w:r w:rsidRPr="004A50A5">
        <w:rPr>
          <w:vertAlign w:val="superscript"/>
        </w:rPr>
        <w:t>th</w:t>
      </w:r>
      <w:r w:rsidRPr="004A50A5">
        <w:t xml:space="preserve"> July 2014 from Lord Lingfield to Mr Fallon, </w:t>
      </w:r>
      <w:r w:rsidR="00C44325" w:rsidRPr="004A50A5">
        <w:t xml:space="preserve">appears to </w:t>
      </w:r>
      <w:r w:rsidRPr="004A50A5">
        <w:t xml:space="preserve">prove that items not transferred under the Deed of Gift are not included in </w:t>
      </w:r>
      <w:r w:rsidR="00E23B63" w:rsidRPr="004A50A5">
        <w:t xml:space="preserve">the </w:t>
      </w:r>
      <w:r w:rsidR="0079411B" w:rsidRPr="004A50A5">
        <w:t xml:space="preserve">PD’s concept of </w:t>
      </w:r>
      <w:r w:rsidRPr="004A50A5">
        <w:t xml:space="preserve">the assemblage. The assemblage therefore excludes bullion or gold coins and, just as importantly, the personal </w:t>
      </w:r>
      <w:r w:rsidRPr="004A50A5">
        <w:lastRenderedPageBreak/>
        <w:t xml:space="preserve">possessions of dead Royal Navy sailors and means that </w:t>
      </w:r>
      <w:r w:rsidR="00E23B63" w:rsidRPr="004A50A5">
        <w:t xml:space="preserve">the PD </w:t>
      </w:r>
      <w:r w:rsidRPr="004A50A5">
        <w:t>is not compliant with the Annex to the Convention and Government Policy</w:t>
      </w:r>
      <w:r w:rsidR="0079411B" w:rsidRPr="004A50A5">
        <w:t xml:space="preserve"> (see below)</w:t>
      </w:r>
      <w:r w:rsidRPr="004A50A5">
        <w:t>.</w:t>
      </w:r>
    </w:p>
    <w:p w14:paraId="068BB8CC" w14:textId="7178F090" w:rsidR="006F089F" w:rsidRPr="004A50A5" w:rsidRDefault="006F089F" w:rsidP="00653CFC">
      <w:pPr>
        <w:pStyle w:val="ListParagraph"/>
        <w:numPr>
          <w:ilvl w:val="0"/>
          <w:numId w:val="2"/>
        </w:numPr>
        <w:ind w:left="426" w:hanging="426"/>
      </w:pPr>
      <w:r w:rsidRPr="004A50A5">
        <w:t>The personal possessions of the crew form one of the most important parts of the assemblage as exemplified in the Mary Rose Museum. Similarly any coins found would also form an important part of the collection for public display as shown by the exhibitions of the coins from the Nuestra Senora de las Mercedes in Spain</w:t>
      </w:r>
      <w:r w:rsidR="005317D6" w:rsidRPr="004A50A5">
        <w:t xml:space="preserve"> and the Salcombe Cannon Site in the British Museum. </w:t>
      </w:r>
      <w:r w:rsidRPr="004A50A5">
        <w:t xml:space="preserve">The PD states that it complies with the Annex (page 3). This is incorrect and </w:t>
      </w:r>
      <w:r w:rsidR="00C44325" w:rsidRPr="004A50A5">
        <w:t>could mislead</w:t>
      </w:r>
      <w:r w:rsidRPr="004A50A5">
        <w:t xml:space="preserve"> readers. </w:t>
      </w:r>
      <w:r w:rsidR="001F56DC" w:rsidRPr="004A50A5">
        <w:br/>
      </w:r>
    </w:p>
    <w:p w14:paraId="393D1B30" w14:textId="77777777" w:rsidR="00B81916" w:rsidRPr="004A50A5" w:rsidRDefault="00B81916" w:rsidP="006F089F">
      <w:pPr>
        <w:pStyle w:val="ListParagraph"/>
        <w:numPr>
          <w:ilvl w:val="0"/>
          <w:numId w:val="2"/>
        </w:numPr>
        <w:ind w:left="426" w:hanging="426"/>
      </w:pPr>
      <w:r w:rsidRPr="004A50A5">
        <w:rPr>
          <w:u w:val="single"/>
        </w:rPr>
        <w:t>Summary</w:t>
      </w:r>
      <w:r w:rsidR="002925D8" w:rsidRPr="004A50A5">
        <w:t>.</w:t>
      </w:r>
      <w:r w:rsidR="002925D8" w:rsidRPr="004A50A5">
        <w:br/>
      </w:r>
      <w:r w:rsidR="00621EFE" w:rsidRPr="004A50A5">
        <w:t xml:space="preserve">It </w:t>
      </w:r>
      <w:r w:rsidR="009120A9" w:rsidRPr="004A50A5">
        <w:t>appears to be</w:t>
      </w:r>
      <w:r w:rsidR="00621EFE" w:rsidRPr="004A50A5">
        <w:t xml:space="preserve"> clear that, with regard to this project</w:t>
      </w:r>
      <w:r w:rsidR="004B2D42" w:rsidRPr="004A50A5">
        <w:t>,</w:t>
      </w:r>
      <w:r w:rsidR="00621EFE" w:rsidRPr="004A50A5">
        <w:t xml:space="preserve"> </w:t>
      </w:r>
      <w:r w:rsidR="00E23B63" w:rsidRPr="004A50A5">
        <w:t>the Project Design</w:t>
      </w:r>
      <w:r w:rsidR="004D0CC8" w:rsidRPr="004A50A5">
        <w:t xml:space="preserve"> is not compliant with </w:t>
      </w:r>
      <w:r w:rsidR="001D1F50" w:rsidRPr="004A50A5">
        <w:t>stated UK</w:t>
      </w:r>
      <w:r w:rsidR="00621EFE" w:rsidRPr="004A50A5">
        <w:t xml:space="preserve"> </w:t>
      </w:r>
      <w:r w:rsidR="00757FE6" w:rsidRPr="004A50A5">
        <w:t xml:space="preserve">heritage </w:t>
      </w:r>
      <w:r w:rsidR="00621EFE" w:rsidRPr="004A50A5">
        <w:t xml:space="preserve">policy with respect to UCH. </w:t>
      </w:r>
    </w:p>
    <w:p w14:paraId="7848D94D" w14:textId="77777777" w:rsidR="00CA1359" w:rsidRPr="004A50A5" w:rsidRDefault="00CA1359" w:rsidP="00CA1359">
      <w:pPr>
        <w:rPr>
          <w:b/>
        </w:rPr>
      </w:pPr>
      <w:r w:rsidRPr="004A50A5">
        <w:rPr>
          <w:b/>
        </w:rPr>
        <w:t xml:space="preserve">Rules and </w:t>
      </w:r>
      <w:r w:rsidR="00073D65" w:rsidRPr="004A50A5">
        <w:rPr>
          <w:b/>
        </w:rPr>
        <w:t>D</w:t>
      </w:r>
      <w:r w:rsidRPr="004A50A5">
        <w:rPr>
          <w:b/>
        </w:rPr>
        <w:t>efinitions of the Annex</w:t>
      </w:r>
    </w:p>
    <w:p w14:paraId="1DC54926" w14:textId="77777777" w:rsidR="00CA1359" w:rsidRPr="004A50A5" w:rsidRDefault="00CA1359" w:rsidP="00073D65">
      <w:pPr>
        <w:pStyle w:val="ListParagraph"/>
        <w:numPr>
          <w:ilvl w:val="0"/>
          <w:numId w:val="1"/>
        </w:numPr>
        <w:ind w:left="567" w:hanging="567"/>
      </w:pPr>
      <w:r w:rsidRPr="004A50A5">
        <w:rPr>
          <w:u w:val="single"/>
        </w:rPr>
        <w:t>What Constitutes the Archaeological Assemblage under the Rules of the Annex and UK Heritage Policy</w:t>
      </w:r>
      <w:r w:rsidRPr="004A50A5">
        <w:t xml:space="preserve">? </w:t>
      </w:r>
      <w:r w:rsidR="004B2D42" w:rsidRPr="004A50A5">
        <w:br/>
      </w:r>
      <w:r w:rsidRPr="004A50A5">
        <w:t>The Annex does not define the term ‘underwater cultural heritage’ but the Convention does in Article 1:</w:t>
      </w:r>
    </w:p>
    <w:p w14:paraId="3493F91E" w14:textId="77777777" w:rsidR="00CA1359" w:rsidRPr="004A50A5" w:rsidRDefault="00497519" w:rsidP="00073D65">
      <w:pPr>
        <w:pStyle w:val="Quote"/>
        <w:ind w:left="1418"/>
        <w:jc w:val="left"/>
        <w:rPr>
          <w:color w:val="auto"/>
        </w:rPr>
      </w:pPr>
      <w:r w:rsidRPr="004A50A5">
        <w:rPr>
          <w:color w:val="auto"/>
        </w:rPr>
        <w:t>“Article</w:t>
      </w:r>
      <w:r w:rsidR="00CA1359" w:rsidRPr="004A50A5">
        <w:rPr>
          <w:color w:val="auto"/>
        </w:rPr>
        <w:t xml:space="preserve"> 1 – Definitions </w:t>
      </w:r>
    </w:p>
    <w:p w14:paraId="2BC8C439" w14:textId="77777777" w:rsidR="00CA1359" w:rsidRPr="004A50A5" w:rsidRDefault="00CA1359" w:rsidP="00073D65">
      <w:pPr>
        <w:pStyle w:val="Quote"/>
        <w:ind w:left="1418"/>
        <w:jc w:val="left"/>
        <w:rPr>
          <w:color w:val="auto"/>
        </w:rPr>
      </w:pPr>
      <w:r w:rsidRPr="004A50A5">
        <w:rPr>
          <w:color w:val="auto"/>
        </w:rPr>
        <w:t xml:space="preserve">For the purposes of this Convention: </w:t>
      </w:r>
    </w:p>
    <w:p w14:paraId="501C8DC1" w14:textId="77777777" w:rsidR="00CA1359" w:rsidRPr="004A50A5" w:rsidRDefault="00CA1359" w:rsidP="00073D65">
      <w:pPr>
        <w:pStyle w:val="Quote"/>
        <w:ind w:left="1418"/>
        <w:jc w:val="left"/>
        <w:rPr>
          <w:color w:val="auto"/>
        </w:rPr>
      </w:pPr>
      <w:r w:rsidRPr="004A50A5">
        <w:rPr>
          <w:color w:val="auto"/>
        </w:rPr>
        <w:t xml:space="preserve">1. (a) “Underwater cultural heritage” means all traces of human existence having a cultural, historical or archaeological character which have been partially or totally under water, periodically or continuously, for at least 100 years such as: </w:t>
      </w:r>
    </w:p>
    <w:p w14:paraId="72771727" w14:textId="77777777" w:rsidR="00CA1359" w:rsidRPr="004A50A5" w:rsidRDefault="00CA1359" w:rsidP="00073D65">
      <w:pPr>
        <w:pStyle w:val="Quote"/>
        <w:ind w:left="1418"/>
        <w:jc w:val="left"/>
        <w:rPr>
          <w:color w:val="auto"/>
        </w:rPr>
      </w:pPr>
      <w:r w:rsidRPr="004A50A5">
        <w:rPr>
          <w:color w:val="auto"/>
        </w:rPr>
        <w:t xml:space="preserve">(i) sites, structures, buildings, artefacts and human remains, together with their archaeological and natural context; </w:t>
      </w:r>
    </w:p>
    <w:p w14:paraId="5DC01E8A" w14:textId="77777777" w:rsidR="00CA1359" w:rsidRPr="004A50A5" w:rsidRDefault="00CA1359" w:rsidP="00073D65">
      <w:pPr>
        <w:pStyle w:val="Quote"/>
        <w:ind w:left="1418"/>
        <w:jc w:val="left"/>
        <w:rPr>
          <w:color w:val="auto"/>
        </w:rPr>
      </w:pPr>
      <w:r w:rsidRPr="004A50A5">
        <w:rPr>
          <w:color w:val="auto"/>
        </w:rPr>
        <w:t xml:space="preserve">(ii) vessels, aircraft, other vehicles or any part thereof, </w:t>
      </w:r>
      <w:r w:rsidRPr="004A50A5">
        <w:rPr>
          <w:b/>
          <w:color w:val="auto"/>
        </w:rPr>
        <w:t>their cargo or other contents</w:t>
      </w:r>
      <w:r w:rsidRPr="004A50A5">
        <w:rPr>
          <w:color w:val="auto"/>
        </w:rPr>
        <w:t>, together with their archaeological and natural context; and ………” [emphasis added]</w:t>
      </w:r>
    </w:p>
    <w:p w14:paraId="2E607936" w14:textId="77777777" w:rsidR="00CA1359" w:rsidRPr="004A50A5" w:rsidRDefault="00CA1359" w:rsidP="00073D65">
      <w:pPr>
        <w:pStyle w:val="ListParagraph"/>
        <w:numPr>
          <w:ilvl w:val="0"/>
          <w:numId w:val="1"/>
        </w:numPr>
        <w:ind w:left="567" w:hanging="567"/>
      </w:pPr>
      <w:r w:rsidRPr="004A50A5">
        <w:t xml:space="preserve">Given these provisions it is beyond dispute that </w:t>
      </w:r>
      <w:r w:rsidRPr="004A50A5">
        <w:rPr>
          <w:b/>
          <w:i/>
          <w:u w:val="single"/>
        </w:rPr>
        <w:t>any</w:t>
      </w:r>
      <w:r w:rsidRPr="004A50A5">
        <w:t xml:space="preserve"> cargo (such as bullion) and other contents recovered from the wreck and dating from 1744 would be of a historical character and a trace of human existence. As such it must constitute UCH, both within the Rules of the Annex and therefore UK UCH policy, and thus part of the archaeological assemblage from the wreck.</w:t>
      </w:r>
    </w:p>
    <w:p w14:paraId="4616E7BB" w14:textId="77777777" w:rsidR="00073D65" w:rsidRPr="004A50A5" w:rsidRDefault="00073D65" w:rsidP="00073D65">
      <w:pPr>
        <w:pStyle w:val="ListParagraph"/>
        <w:numPr>
          <w:ilvl w:val="0"/>
          <w:numId w:val="1"/>
        </w:numPr>
        <w:ind w:left="567" w:hanging="567"/>
      </w:pPr>
      <w:r w:rsidRPr="004A50A5">
        <w:rPr>
          <w:u w:val="single"/>
        </w:rPr>
        <w:t>Prohibition on Commercial Exploitation of UCH in the Annex and UK Heritage Policy</w:t>
      </w:r>
      <w:r w:rsidRPr="004A50A5">
        <w:t xml:space="preserve">. </w:t>
      </w:r>
      <w:r w:rsidR="004B2D42" w:rsidRPr="004A50A5">
        <w:br/>
      </w:r>
      <w:r w:rsidRPr="004A50A5">
        <w:t>Rule 2 of the Annex to the Convention states:</w:t>
      </w:r>
    </w:p>
    <w:p w14:paraId="77C4C5F9" w14:textId="77777777" w:rsidR="00073D65" w:rsidRPr="004A50A5" w:rsidRDefault="00073D65" w:rsidP="00073D65">
      <w:pPr>
        <w:pStyle w:val="Quote"/>
        <w:ind w:left="1418"/>
        <w:jc w:val="left"/>
        <w:rPr>
          <w:color w:val="auto"/>
        </w:rPr>
      </w:pPr>
      <w:r w:rsidRPr="004A50A5">
        <w:rPr>
          <w:color w:val="auto"/>
        </w:rPr>
        <w:t>“Rule 2. The commercial exploitation of underwater cultural heritage for trade or speculation or its irretrievable dispersal is fundamentally incompatible with the protection and proper management of underwater cultural heritage. Underwater cultural heritage shall not be traded, sold, bought or bartered as commercial goods. …”</w:t>
      </w:r>
    </w:p>
    <w:p w14:paraId="52EBE7E1" w14:textId="77777777" w:rsidR="00471905" w:rsidRPr="004A50A5" w:rsidRDefault="00A966D5" w:rsidP="00471905">
      <w:pPr>
        <w:pStyle w:val="ListParagraph"/>
        <w:numPr>
          <w:ilvl w:val="0"/>
          <w:numId w:val="1"/>
        </w:numPr>
        <w:ind w:left="567" w:hanging="567"/>
        <w:rPr>
          <w:lang w:val="en"/>
        </w:rPr>
      </w:pPr>
      <w:r w:rsidRPr="004A50A5">
        <w:rPr>
          <w:u w:val="single"/>
        </w:rPr>
        <w:lastRenderedPageBreak/>
        <w:t>Summary</w:t>
      </w:r>
      <w:r w:rsidRPr="004A50A5">
        <w:t xml:space="preserve">. </w:t>
      </w:r>
      <w:r w:rsidR="002925D8" w:rsidRPr="004A50A5">
        <w:br/>
      </w:r>
      <w:r w:rsidR="00C54DB1" w:rsidRPr="004A50A5">
        <w:t xml:space="preserve">The adoption of the Annex by the UK Government for the purposes of the treatment of UCH makes the determination of what is, and what is not UCH a straightforward matter. </w:t>
      </w:r>
      <w:r w:rsidR="00471905" w:rsidRPr="004A50A5">
        <w:t xml:space="preserve">By this definition and therefore UK policy, the entire contents of the shipwreck are UCH and thus, if recovered, </w:t>
      </w:r>
      <w:r w:rsidR="004B2D42" w:rsidRPr="004A50A5">
        <w:t xml:space="preserve">are </w:t>
      </w:r>
      <w:r w:rsidR="00471905" w:rsidRPr="004A50A5">
        <w:t xml:space="preserve">part of the archaeological assemblage. </w:t>
      </w:r>
    </w:p>
    <w:p w14:paraId="3F2B777C" w14:textId="77777777" w:rsidR="00A966D5" w:rsidRPr="004A50A5" w:rsidRDefault="00A966D5" w:rsidP="004B2D42">
      <w:pPr>
        <w:pStyle w:val="ListParagraph"/>
        <w:ind w:left="567"/>
      </w:pPr>
    </w:p>
    <w:p w14:paraId="0193943C" w14:textId="77777777" w:rsidR="005F690F" w:rsidRPr="004A50A5" w:rsidRDefault="005F690F" w:rsidP="005F690F">
      <w:pPr>
        <w:rPr>
          <w:b/>
        </w:rPr>
      </w:pPr>
      <w:r w:rsidRPr="004A50A5">
        <w:rPr>
          <w:b/>
        </w:rPr>
        <w:t>The PD’s Compliance with the Annex and UK Heritage Policy</w:t>
      </w:r>
    </w:p>
    <w:p w14:paraId="15AA8084" w14:textId="77777777" w:rsidR="00CA0749" w:rsidRPr="004A50A5" w:rsidRDefault="00CA0749" w:rsidP="00CA0749">
      <w:pPr>
        <w:pStyle w:val="ListParagraph"/>
        <w:numPr>
          <w:ilvl w:val="0"/>
          <w:numId w:val="6"/>
        </w:numPr>
        <w:ind w:left="567" w:hanging="567"/>
      </w:pPr>
      <w:r w:rsidRPr="004A50A5">
        <w:t xml:space="preserve">The documentation </w:t>
      </w:r>
      <w:r w:rsidR="00CA26C3" w:rsidRPr="004A50A5">
        <w:t>in support of the Licence Application</w:t>
      </w:r>
      <w:r w:rsidR="006F1DFE" w:rsidRPr="004A50A5">
        <w:t>,</w:t>
      </w:r>
      <w:r w:rsidR="00CA26C3" w:rsidRPr="004A50A5">
        <w:t xml:space="preserve"> </w:t>
      </w:r>
      <w:r w:rsidRPr="004A50A5">
        <w:t>fails to mention that permission from the Secretary of State has been withdrawn.</w:t>
      </w:r>
    </w:p>
    <w:p w14:paraId="4910FCB4" w14:textId="77777777" w:rsidR="00073D65" w:rsidRPr="004A50A5" w:rsidRDefault="00073D65" w:rsidP="005F690F">
      <w:pPr>
        <w:pStyle w:val="ListParagraph"/>
        <w:numPr>
          <w:ilvl w:val="0"/>
          <w:numId w:val="6"/>
        </w:numPr>
        <w:ind w:left="567" w:hanging="567"/>
      </w:pPr>
      <w:r w:rsidRPr="004A50A5">
        <w:t xml:space="preserve">The Rules of the Annex and UK UCH policy prohibit </w:t>
      </w:r>
      <w:r w:rsidR="004B2D42" w:rsidRPr="004A50A5">
        <w:t>the</w:t>
      </w:r>
      <w:r w:rsidR="006F1DFE" w:rsidRPr="004A50A5">
        <w:t xml:space="preserve"> </w:t>
      </w:r>
      <w:r w:rsidRPr="004A50A5">
        <w:t>commercial exploitation</w:t>
      </w:r>
      <w:r w:rsidR="006F1DFE" w:rsidRPr="004A50A5">
        <w:t xml:space="preserve"> of UCH</w:t>
      </w:r>
      <w:r w:rsidRPr="004A50A5">
        <w:t>, including the potential bartering by MHF with OME of any recovered bullion or other material from the archaeological assemblage in return for salvage services. In a Press Release dated 2nd February 2012, announcing the salvage contract between MHF and OME, OME stated:</w:t>
      </w:r>
    </w:p>
    <w:p w14:paraId="2BBB65F0" w14:textId="77777777" w:rsidR="00073D65" w:rsidRPr="004A50A5" w:rsidRDefault="00073D65" w:rsidP="005F690F">
      <w:pPr>
        <w:pStyle w:val="Quote"/>
        <w:ind w:left="1418"/>
        <w:jc w:val="left"/>
        <w:rPr>
          <w:color w:val="auto"/>
        </w:rPr>
      </w:pPr>
      <w:r w:rsidRPr="004A50A5">
        <w:rPr>
          <w:color w:val="auto"/>
        </w:rPr>
        <w:t>“The agreement calls for Odyssey’s project costs to be reimbursed and for Odyssey to be paid a percentage of the recovered artifacts’ fair value. The preferred option is for Odyssey to be compensated in cash. However, if the Foundation determines, based on the principles adopted for its own collection management and curation policy, that it is in its best interest to de-accession certain artifacts, the Foundation may choose to compensate Odyssey with artifacts in lieu of cash.</w:t>
      </w:r>
    </w:p>
    <w:p w14:paraId="4F427091" w14:textId="77777777" w:rsidR="00073D65" w:rsidRPr="004A50A5" w:rsidRDefault="00073D65" w:rsidP="005F690F">
      <w:pPr>
        <w:pStyle w:val="Quote"/>
        <w:numPr>
          <w:ilvl w:val="0"/>
          <w:numId w:val="7"/>
        </w:numPr>
        <w:jc w:val="left"/>
        <w:rPr>
          <w:color w:val="auto"/>
        </w:rPr>
      </w:pPr>
      <w:r w:rsidRPr="004A50A5">
        <w:rPr>
          <w:color w:val="auto"/>
        </w:rPr>
        <w:t>Odyssey will receive the equivalent of 80% of the fair value of artifacts which were primarily used in trade or commerce or were private property and bear no direct connection to the construction, navigation, defense or crew of the ship, such as coins or other cargo.</w:t>
      </w:r>
    </w:p>
    <w:p w14:paraId="42E55659" w14:textId="77777777" w:rsidR="00073D65" w:rsidRPr="004A50A5" w:rsidRDefault="00073D65" w:rsidP="005F690F">
      <w:pPr>
        <w:pStyle w:val="Quote"/>
        <w:numPr>
          <w:ilvl w:val="0"/>
          <w:numId w:val="7"/>
        </w:numPr>
        <w:jc w:val="left"/>
        <w:rPr>
          <w:color w:val="auto"/>
        </w:rPr>
      </w:pPr>
      <w:r w:rsidRPr="004A50A5">
        <w:rPr>
          <w:color w:val="auto"/>
        </w:rPr>
        <w:t xml:space="preserve">Odyssey will receive the equivalent of 50% of the fair value of all other objects typically associated with the construction, crewing and sailing of ships including, but not limited to, the ship’s hull, …” </w:t>
      </w:r>
    </w:p>
    <w:p w14:paraId="732E6ED8" w14:textId="722EC40B" w:rsidR="00073D65" w:rsidRPr="004A50A5" w:rsidRDefault="00073D65" w:rsidP="005F690F">
      <w:pPr>
        <w:pStyle w:val="ListParagraph"/>
        <w:numPr>
          <w:ilvl w:val="0"/>
          <w:numId w:val="6"/>
        </w:numPr>
        <w:ind w:left="567" w:hanging="567"/>
      </w:pPr>
      <w:r w:rsidRPr="004A50A5">
        <w:t>As Prof</w:t>
      </w:r>
      <w:r w:rsidR="002925D8" w:rsidRPr="004A50A5">
        <w:t>essor</w:t>
      </w:r>
      <w:r w:rsidRPr="004A50A5">
        <w:t xml:space="preserve"> O’Keefe has already noted</w:t>
      </w:r>
      <w:r w:rsidRPr="004A50A5">
        <w:rPr>
          <w:rStyle w:val="FootnoteReference"/>
        </w:rPr>
        <w:footnoteReference w:id="5"/>
      </w:r>
      <w:r w:rsidRPr="004A50A5">
        <w:t xml:space="preserve">, </w:t>
      </w:r>
      <w:r w:rsidR="00016A5A" w:rsidRPr="004A50A5">
        <w:t>based on information</w:t>
      </w:r>
      <w:r w:rsidR="00AE3486" w:rsidRPr="004A50A5">
        <w:t xml:space="preserve"> in the public domain</w:t>
      </w:r>
      <w:r w:rsidR="00016A5A" w:rsidRPr="004A50A5">
        <w:t xml:space="preserve"> </w:t>
      </w:r>
      <w:r w:rsidR="00FF66AB" w:rsidRPr="004A50A5">
        <w:rPr>
          <w:lang w:val="en"/>
        </w:rPr>
        <w:t xml:space="preserve">it </w:t>
      </w:r>
      <w:r w:rsidR="00EA14D6" w:rsidRPr="004A50A5">
        <w:rPr>
          <w:lang w:val="en"/>
        </w:rPr>
        <w:t>appears</w:t>
      </w:r>
      <w:r w:rsidR="00FF66AB" w:rsidRPr="004A50A5">
        <w:rPr>
          <w:lang w:val="en"/>
        </w:rPr>
        <w:t xml:space="preserve"> unlikely that MHF will be able to pay OME in cash 80% of the value of any bullion recovered or 50% of the value of other artefacts such as the cannon, given MHF’s very limited resources. The MHF had total funds of only £69,617 at 31</w:t>
      </w:r>
      <w:r w:rsidR="00FF66AB" w:rsidRPr="004A50A5">
        <w:rPr>
          <w:vertAlign w:val="superscript"/>
          <w:lang w:val="en"/>
        </w:rPr>
        <w:t>st</w:t>
      </w:r>
      <w:r w:rsidR="00FF66AB" w:rsidRPr="004A50A5">
        <w:rPr>
          <w:lang w:val="en"/>
        </w:rPr>
        <w:t xml:space="preserve"> March 2014 in its last filed annual accounts, against a cost of £1,625,000 for the estimated project costs seaward of mean high water mark before taking account of any further ‘commission’ payable on artefacts recovered. To cater for this probability the salvage contract provides that “… </w:t>
      </w:r>
      <w:r w:rsidR="00FF66AB" w:rsidRPr="004A50A5">
        <w:rPr>
          <w:i/>
        </w:rPr>
        <w:t>if the Foundation determines, based on the principles adopted for its own collection management and curation policy, that it is in its best interest to de-accession certain artifacts, the Foundation may choose to compensate Odyssey with artifacts in lieu of cash</w:t>
      </w:r>
      <w:r w:rsidR="00FF66AB" w:rsidRPr="004A50A5">
        <w:t>”.</w:t>
      </w:r>
      <w:r w:rsidR="00FF66AB" w:rsidRPr="004A50A5">
        <w:rPr>
          <w:lang w:val="en"/>
        </w:rPr>
        <w:t xml:space="preserve"> This potential bartering of any part of the recovered archaeological assemblage, including 80% of any bullion recovered, as revealed by Lord </w:t>
      </w:r>
      <w:r w:rsidR="00FF66AB" w:rsidRPr="004A50A5">
        <w:rPr>
          <w:lang w:val="en"/>
        </w:rPr>
        <w:lastRenderedPageBreak/>
        <w:t>Lingfield’s correspondence, would be in direct contravention of Rule 2 of the Annex and thus UK UCH policy</w:t>
      </w:r>
      <w:r w:rsidRPr="004A50A5">
        <w:t xml:space="preserve">. </w:t>
      </w:r>
    </w:p>
    <w:p w14:paraId="575F3E7E" w14:textId="42ECD23A" w:rsidR="00073D65" w:rsidRPr="004A50A5" w:rsidRDefault="00073D65" w:rsidP="005F690F">
      <w:pPr>
        <w:pStyle w:val="ListParagraph"/>
        <w:numPr>
          <w:ilvl w:val="0"/>
          <w:numId w:val="6"/>
        </w:numPr>
        <w:ind w:left="567" w:hanging="567"/>
      </w:pPr>
      <w:r w:rsidRPr="004A50A5">
        <w:t>In effect part of the archaeological assemblage recovered from the wreck is being used as collateral security for OME in case, as is highly probable, MHF cannot pay cash for salvage services rendered by OME. This security comprises the bartering of the archaeological assemblage to the extent of 50% or 80% of its value, depending upon the nature of the recovered UCH (80% bullion, 50% other artefacts</w:t>
      </w:r>
      <w:r w:rsidR="006F1DFE" w:rsidRPr="004A50A5">
        <w:t xml:space="preserve"> such as the bronze cannon</w:t>
      </w:r>
      <w:r w:rsidRPr="004A50A5">
        <w:t>). Should such parts of the archaeological assemblage be transferred to OME in lieu of a cash payment then in order to realise value for OME’s shareholders that archaeological material would have to be sold, resulting in its irretrievable dispersal. UNESCO has published guidance on the Rules of the Annex</w:t>
      </w:r>
      <w:r w:rsidRPr="004A50A5">
        <w:rPr>
          <w:rStyle w:val="FootnoteReference"/>
        </w:rPr>
        <w:footnoteReference w:id="6"/>
      </w:r>
      <w:r w:rsidR="00FA3959" w:rsidRPr="004A50A5">
        <w:t>. It states that</w:t>
      </w:r>
      <w:r w:rsidRPr="004A50A5">
        <w:t>:</w:t>
      </w:r>
    </w:p>
    <w:p w14:paraId="7BED4282" w14:textId="77777777" w:rsidR="00073D65" w:rsidRPr="004A50A5" w:rsidRDefault="00073D65" w:rsidP="005F690F">
      <w:pPr>
        <w:pStyle w:val="Quote"/>
        <w:ind w:left="1418"/>
        <w:jc w:val="left"/>
        <w:rPr>
          <w:color w:val="auto"/>
        </w:rPr>
      </w:pPr>
      <w:r w:rsidRPr="004A50A5">
        <w:rPr>
          <w:color w:val="auto"/>
        </w:rPr>
        <w:t>“All archaeological activity can be governed by commercial principles, as long as the activities are authorized in conformity with the Convention, and as long as the finds that belong to the site are not pa</w:t>
      </w:r>
      <w:r w:rsidR="00FA3959" w:rsidRPr="004A50A5">
        <w:rPr>
          <w:color w:val="auto"/>
        </w:rPr>
        <w:t>rt of the commercial equation.”</w:t>
      </w:r>
      <w:r w:rsidRPr="004A50A5">
        <w:rPr>
          <w:rStyle w:val="FootnoteReference"/>
          <w:i w:val="0"/>
          <w:iCs w:val="0"/>
          <w:color w:val="auto"/>
        </w:rPr>
        <w:footnoteReference w:id="7"/>
      </w:r>
    </w:p>
    <w:p w14:paraId="581D7427" w14:textId="77777777" w:rsidR="00073D65" w:rsidRPr="004A50A5" w:rsidRDefault="00073D65" w:rsidP="00FA3959">
      <w:pPr>
        <w:pStyle w:val="ListParagraph"/>
        <w:numPr>
          <w:ilvl w:val="0"/>
          <w:numId w:val="6"/>
        </w:numPr>
        <w:ind w:left="567" w:hanging="567"/>
      </w:pPr>
      <w:r w:rsidRPr="004A50A5">
        <w:t>Quite clearly this use of the archaeological assemblage as collateral security for OME’s costs and the potential bartering of it in lieu of a cash payment for salvage services puts the archaeological assemblage at the heart of MHF’s ‘</w:t>
      </w:r>
      <w:r w:rsidRPr="004A50A5">
        <w:rPr>
          <w:i/>
        </w:rPr>
        <w:t>commercial equation</w:t>
      </w:r>
      <w:r w:rsidRPr="004A50A5">
        <w:t xml:space="preserve">’ and constitutes commercial exploitation, contrary to Rule 2.      </w:t>
      </w:r>
    </w:p>
    <w:p w14:paraId="7CFDF0FA" w14:textId="77777777" w:rsidR="00073D65" w:rsidRPr="004A50A5" w:rsidRDefault="00073D65" w:rsidP="00FA3959">
      <w:pPr>
        <w:pStyle w:val="ListParagraph"/>
        <w:numPr>
          <w:ilvl w:val="0"/>
          <w:numId w:val="6"/>
        </w:numPr>
        <w:ind w:left="567" w:hanging="567"/>
      </w:pPr>
      <w:r w:rsidRPr="004A50A5">
        <w:t xml:space="preserve">Finally it is important to note that the purported distinction which MHF is apparently attempting to draw between recovered archaeological material which was formerly in Crown ownership and recovered archaeological material which is owned by third parties (e.g. bullion)  has no relevance in respect of the Convention, the Rules of the Annex or UK UCH policy. All material consisting of a trace of human existence which was present on HMS </w:t>
      </w:r>
      <w:r w:rsidRPr="004A50A5">
        <w:rPr>
          <w:i/>
        </w:rPr>
        <w:t>Victory</w:t>
      </w:r>
      <w:r w:rsidRPr="004A50A5">
        <w:t xml:space="preserve"> 1744 and which was lost in her sinking in 1744 constitutes, for the purposes of the Convention, the Rules of the Annex and UK UCH policy, ‘</w:t>
      </w:r>
      <w:r w:rsidRPr="004A50A5">
        <w:rPr>
          <w:i/>
        </w:rPr>
        <w:t>underwater cultural heritage</w:t>
      </w:r>
      <w:r w:rsidRPr="004A50A5">
        <w:t>’. The fact that such material may or may not have been in Crown ownership at the time of sinking and has or has not been transferred from Crown ownership to ownership by MHF under the Deed of Transfer is entirely irrelevant. The terms of the salvage contract and Lord Lingfield’s correspondence with M</w:t>
      </w:r>
      <w:r w:rsidR="009120A9" w:rsidRPr="004A50A5">
        <w:t>r</w:t>
      </w:r>
      <w:r w:rsidRPr="004A50A5">
        <w:t xml:space="preserve"> Fallon, now conclusively establish that the project proposal by MHF does not comply with the Annex and thus UK UCH policy.</w:t>
      </w:r>
    </w:p>
    <w:p w14:paraId="3512ADD8" w14:textId="77777777" w:rsidR="00073D65" w:rsidRPr="004A50A5" w:rsidRDefault="00073D65" w:rsidP="00FA3959">
      <w:pPr>
        <w:pStyle w:val="ListParagraph"/>
        <w:numPr>
          <w:ilvl w:val="0"/>
          <w:numId w:val="6"/>
        </w:numPr>
        <w:ind w:left="567" w:hanging="567"/>
      </w:pPr>
      <w:r w:rsidRPr="004A50A5">
        <w:t>In its licence applica</w:t>
      </w:r>
      <w:r w:rsidR="00FA3959" w:rsidRPr="004A50A5">
        <w:t>tion MHF repeatedly states that</w:t>
      </w:r>
      <w:r w:rsidRPr="004A50A5">
        <w:t>:</w:t>
      </w:r>
    </w:p>
    <w:p w14:paraId="28A3F73C" w14:textId="77777777" w:rsidR="00073D65" w:rsidRPr="004A50A5" w:rsidRDefault="00073D65" w:rsidP="00FA3959">
      <w:pPr>
        <w:pStyle w:val="Quote"/>
        <w:ind w:left="1418"/>
        <w:jc w:val="left"/>
        <w:rPr>
          <w:color w:val="auto"/>
        </w:rPr>
      </w:pPr>
      <w:r w:rsidRPr="004A50A5">
        <w:rPr>
          <w:color w:val="auto"/>
        </w:rPr>
        <w:t>“It [The Project] also adheres to the archaeological principles of the Annex of the UNESCO Convention on the Protection of the Underwater Cultural Heritage”</w:t>
      </w:r>
    </w:p>
    <w:p w14:paraId="35508261" w14:textId="7A3DAEFF" w:rsidR="00073D65" w:rsidRPr="004A50A5" w:rsidRDefault="00073D65" w:rsidP="00FA3959">
      <w:pPr>
        <w:pStyle w:val="ListParagraph"/>
        <w:numPr>
          <w:ilvl w:val="0"/>
          <w:numId w:val="6"/>
        </w:numPr>
        <w:ind w:left="567" w:hanging="567"/>
      </w:pPr>
      <w:r w:rsidRPr="004A50A5">
        <w:t>Within the PD</w:t>
      </w:r>
      <w:r w:rsidR="00414ECD" w:rsidRPr="004A50A5">
        <w:t>,</w:t>
      </w:r>
      <w:r w:rsidRPr="004A50A5">
        <w:t xml:space="preserve"> MHF states </w:t>
      </w:r>
      <w:r w:rsidR="00FA3959" w:rsidRPr="004A50A5">
        <w:t>that:</w:t>
      </w:r>
    </w:p>
    <w:p w14:paraId="6CA684F3" w14:textId="77777777" w:rsidR="00073D65" w:rsidRPr="004A50A5" w:rsidRDefault="00073D65" w:rsidP="00FA3959">
      <w:pPr>
        <w:pStyle w:val="Quote"/>
        <w:ind w:left="1418"/>
        <w:jc w:val="left"/>
        <w:rPr>
          <w:color w:val="auto"/>
        </w:rPr>
      </w:pPr>
      <w:r w:rsidRPr="004A50A5">
        <w:rPr>
          <w:color w:val="auto"/>
        </w:rPr>
        <w:t xml:space="preserve">“The project complies with the archaeological principles of the Annex of the UNESCO Convention. The artefact assemblage from the wreck will be retained as a unified archive pursuant to the collection policy of the </w:t>
      </w:r>
      <w:r w:rsidRPr="004A50A5">
        <w:rPr>
          <w:color w:val="auto"/>
        </w:rPr>
        <w:lastRenderedPageBreak/>
        <w:t>Maritime Heritage Foundation, taking into account its obligations under the wreck’s Deed of Transfer.”</w:t>
      </w:r>
      <w:r w:rsidRPr="004A50A5">
        <w:rPr>
          <w:rStyle w:val="FootnoteReference"/>
          <w:i w:val="0"/>
          <w:iCs w:val="0"/>
          <w:color w:val="auto"/>
        </w:rPr>
        <w:footnoteReference w:id="8"/>
      </w:r>
      <w:r w:rsidRPr="004A50A5">
        <w:rPr>
          <w:color w:val="auto"/>
        </w:rPr>
        <w:t xml:space="preserve"> </w:t>
      </w:r>
    </w:p>
    <w:p w14:paraId="4B474394" w14:textId="7F1B3DF5" w:rsidR="00073D65" w:rsidRPr="004A50A5" w:rsidRDefault="00073D65" w:rsidP="00FA3959">
      <w:pPr>
        <w:pStyle w:val="ListParagraph"/>
        <w:numPr>
          <w:ilvl w:val="0"/>
          <w:numId w:val="6"/>
        </w:numPr>
        <w:ind w:left="567" w:hanging="567"/>
      </w:pPr>
      <w:r w:rsidRPr="004A50A5">
        <w:t xml:space="preserve">These statements </w:t>
      </w:r>
      <w:r w:rsidR="00EA14D6" w:rsidRPr="004A50A5">
        <w:t>appear to be</w:t>
      </w:r>
      <w:r w:rsidRPr="004A50A5">
        <w:t xml:space="preserve"> </w:t>
      </w:r>
      <w:r w:rsidR="00EA14D6" w:rsidRPr="004A50A5">
        <w:t>in</w:t>
      </w:r>
      <w:r w:rsidRPr="004A50A5">
        <w:t xml:space="preserve">correct, as both the terms of the salvage contract and Lord Lingfield’s correspondence have revealed. The apparent misunderstanding on the part of MHF as to what constitutes UCH and the archaeological assemblage of a wreck within the terms of the Annex and UK heritage policy has resulted in the Marine Licence application, the PD and its Addendum </w:t>
      </w:r>
      <w:r w:rsidR="00EA14D6" w:rsidRPr="004A50A5">
        <w:t>being invalid</w:t>
      </w:r>
      <w:r w:rsidRPr="004A50A5">
        <w:t xml:space="preserve">. In particular the omission of any reference in the PD and its Addendum to the existence of the salvage contract is regrettable, since it makes an evaluation of the extent of compliance of the PD and its Addendum with the Annex and UK heritage policy impossible on the basis of the information supplied in support of the application. </w:t>
      </w:r>
      <w:r w:rsidR="002925D8" w:rsidRPr="004A50A5">
        <w:br/>
      </w:r>
    </w:p>
    <w:p w14:paraId="07F874CA" w14:textId="77777777" w:rsidR="007533A5" w:rsidRPr="004A50A5" w:rsidRDefault="00370284" w:rsidP="007533A5">
      <w:pPr>
        <w:pStyle w:val="ListParagraph"/>
        <w:numPr>
          <w:ilvl w:val="0"/>
          <w:numId w:val="6"/>
        </w:numPr>
        <w:ind w:left="567" w:hanging="567"/>
      </w:pPr>
      <w:r w:rsidRPr="004A50A5">
        <w:rPr>
          <w:u w:val="single"/>
        </w:rPr>
        <w:t>Summary</w:t>
      </w:r>
      <w:r w:rsidRPr="004A50A5">
        <w:t xml:space="preserve">. </w:t>
      </w:r>
    </w:p>
    <w:p w14:paraId="61A50BB3" w14:textId="3224CFF4" w:rsidR="007533A5" w:rsidRPr="004A50A5" w:rsidRDefault="00EA14D6" w:rsidP="007533A5">
      <w:pPr>
        <w:pStyle w:val="ListParagraph"/>
        <w:ind w:left="567"/>
      </w:pPr>
      <w:r w:rsidRPr="004A50A5">
        <w:t>T</w:t>
      </w:r>
      <w:r w:rsidR="005722D6" w:rsidRPr="004A50A5">
        <w:t xml:space="preserve">he MHF </w:t>
      </w:r>
      <w:r w:rsidR="00AE3486" w:rsidRPr="004A50A5">
        <w:t xml:space="preserve">has </w:t>
      </w:r>
      <w:r w:rsidR="005722D6" w:rsidRPr="004A50A5">
        <w:t>sought to assure others</w:t>
      </w:r>
      <w:r w:rsidR="006E30C5" w:rsidRPr="004A50A5">
        <w:t xml:space="preserve"> that the PD complies with the Annex, but this assertion </w:t>
      </w:r>
      <w:r w:rsidRPr="004A50A5">
        <w:t>appears to be incorrect</w:t>
      </w:r>
      <w:r w:rsidR="002925D8" w:rsidRPr="004A50A5">
        <w:t>.</w:t>
      </w:r>
    </w:p>
    <w:p w14:paraId="13BEB336" w14:textId="77777777" w:rsidR="007533A5" w:rsidRPr="004A50A5" w:rsidRDefault="007533A5" w:rsidP="007533A5">
      <w:pPr>
        <w:pStyle w:val="ListParagraph"/>
        <w:ind w:left="567"/>
      </w:pPr>
    </w:p>
    <w:p w14:paraId="15EDE8A6" w14:textId="77777777" w:rsidR="00C52188" w:rsidRPr="004A50A5" w:rsidRDefault="00C52188" w:rsidP="007533A5">
      <w:pPr>
        <w:pStyle w:val="ListParagraph"/>
        <w:ind w:left="567"/>
        <w:rPr>
          <w:b/>
        </w:rPr>
      </w:pPr>
      <w:r w:rsidRPr="004A50A5">
        <w:rPr>
          <w:b/>
        </w:rPr>
        <w:t>Thematic Research</w:t>
      </w:r>
    </w:p>
    <w:p w14:paraId="6302ED76" w14:textId="77777777" w:rsidR="007533A5" w:rsidRPr="004A50A5" w:rsidRDefault="007533A5" w:rsidP="007533A5">
      <w:pPr>
        <w:pStyle w:val="ListParagraph"/>
        <w:ind w:left="567"/>
        <w:rPr>
          <w:b/>
        </w:rPr>
      </w:pPr>
    </w:p>
    <w:p w14:paraId="025CBAD0" w14:textId="77777777" w:rsidR="00C52188" w:rsidRPr="004A50A5" w:rsidRDefault="00C52188" w:rsidP="007533A5">
      <w:pPr>
        <w:pStyle w:val="ListParagraph"/>
        <w:numPr>
          <w:ilvl w:val="0"/>
          <w:numId w:val="8"/>
        </w:numPr>
        <w:ind w:left="567" w:hanging="567"/>
      </w:pPr>
      <w:r w:rsidRPr="004A50A5">
        <w:t>The ‘Historical Background’ section makes a number of unfounded assumptions:</w:t>
      </w:r>
    </w:p>
    <w:p w14:paraId="3A77631A" w14:textId="77777777" w:rsidR="00C52188" w:rsidRPr="004A50A5" w:rsidRDefault="00C52188" w:rsidP="007533A5">
      <w:pPr>
        <w:pStyle w:val="ListParagraph"/>
        <w:numPr>
          <w:ilvl w:val="1"/>
          <w:numId w:val="8"/>
        </w:numPr>
        <w:ind w:left="993" w:hanging="426"/>
      </w:pPr>
      <w:r w:rsidRPr="004A50A5">
        <w:rPr>
          <w:u w:val="single"/>
        </w:rPr>
        <w:t>Establishment</w:t>
      </w:r>
      <w:r w:rsidRPr="004A50A5">
        <w:t xml:space="preserve">: The PD states “the Victory was built to the 1733 Proposed Establishment”. This assertion is unsubstantiated because there is some debate as to whether </w:t>
      </w:r>
      <w:r w:rsidRPr="004A50A5">
        <w:rPr>
          <w:i/>
        </w:rPr>
        <w:t>Victory</w:t>
      </w:r>
      <w:r w:rsidRPr="004A50A5">
        <w:t xml:space="preserve"> was built to the 1733 Establishment proposals or the 1719 Establishment. The plan</w:t>
      </w:r>
      <w:r w:rsidRPr="004A50A5">
        <w:rPr>
          <w:vertAlign w:val="superscript"/>
        </w:rPr>
        <w:footnoteReference w:id="9"/>
      </w:r>
      <w:r w:rsidRPr="004A50A5">
        <w:t xml:space="preserve"> was draughted in 1725 and matches the 1719 Establishment, as does the block model</w:t>
      </w:r>
      <w:r w:rsidRPr="004A50A5">
        <w:rPr>
          <w:vertAlign w:val="superscript"/>
        </w:rPr>
        <w:footnoteReference w:id="10"/>
      </w:r>
      <w:r w:rsidRPr="004A50A5">
        <w:t xml:space="preserve"> submitted to the Navy Board as a proposal. However, a warrant sent from the Navy Board to Portsmouth Dockyard on the 12 September 1733 ordered the Master Shipwright, Joseph Allin:</w:t>
      </w:r>
    </w:p>
    <w:p w14:paraId="1121B65D" w14:textId="00D6D9EE" w:rsidR="00C52188" w:rsidRPr="004A50A5" w:rsidRDefault="00C52188" w:rsidP="00C52188">
      <w:pPr>
        <w:pStyle w:val="Quote"/>
        <w:ind w:left="1418"/>
        <w:jc w:val="left"/>
        <w:rPr>
          <w:color w:val="auto"/>
        </w:rPr>
      </w:pPr>
      <w:r w:rsidRPr="004A50A5">
        <w:rPr>
          <w:color w:val="auto"/>
        </w:rPr>
        <w:t xml:space="preserve">to cause the Victory now Rebuilding at Portsmouth, to be Rebuilt of the above Dimensions </w:t>
      </w:r>
      <w:r w:rsidRPr="004A50A5">
        <w:rPr>
          <w:i w:val="0"/>
          <w:color w:val="auto"/>
        </w:rPr>
        <w:t>[i.e. the 1733 Establishment Proposals</w:t>
      </w:r>
      <w:r w:rsidR="00E154FC" w:rsidRPr="004A50A5">
        <w:rPr>
          <w:i w:val="0"/>
          <w:color w:val="auto"/>
        </w:rPr>
        <w:t>]</w:t>
      </w:r>
      <w:r w:rsidR="00E154FC" w:rsidRPr="004A50A5">
        <w:rPr>
          <w:color w:val="auto"/>
        </w:rPr>
        <w:t>,</w:t>
      </w:r>
      <w:r w:rsidRPr="004A50A5">
        <w:rPr>
          <w:color w:val="auto"/>
        </w:rPr>
        <w:t xml:space="preserve"> or as near agreeable thereto as can now be done</w:t>
      </w:r>
      <w:r w:rsidRPr="004A50A5">
        <w:rPr>
          <w:color w:val="auto"/>
          <w:vertAlign w:val="superscript"/>
        </w:rPr>
        <w:footnoteReference w:id="11"/>
      </w:r>
    </w:p>
    <w:p w14:paraId="555DD710" w14:textId="77777777" w:rsidR="00C52188" w:rsidRPr="004A50A5" w:rsidRDefault="00C52188" w:rsidP="007533A5">
      <w:pPr>
        <w:ind w:left="993"/>
      </w:pPr>
      <w:r w:rsidRPr="004A50A5">
        <w:t xml:space="preserve">This is an interesting point because the keel was laid in 1727. The call for her to be built to the 1733 Establishment was made six years after. In light of this information, it is impossible to confirm from the written sources to which Establishment dimensions </w:t>
      </w:r>
      <w:r w:rsidRPr="004A50A5">
        <w:rPr>
          <w:i/>
        </w:rPr>
        <w:t xml:space="preserve">Victory </w:t>
      </w:r>
      <w:r w:rsidRPr="004A50A5">
        <w:t xml:space="preserve">was built. This should be taken into account as a research question within the PD, and queries made as to whether the archaeological material has the potential to answer this. </w:t>
      </w:r>
    </w:p>
    <w:p w14:paraId="0C107362" w14:textId="77777777" w:rsidR="00C52188" w:rsidRPr="004A50A5" w:rsidRDefault="00C52188" w:rsidP="007533A5">
      <w:pPr>
        <w:pStyle w:val="ListParagraph"/>
        <w:numPr>
          <w:ilvl w:val="0"/>
          <w:numId w:val="4"/>
        </w:numPr>
        <w:ind w:left="993" w:hanging="426"/>
      </w:pPr>
      <w:r w:rsidRPr="004A50A5">
        <w:rPr>
          <w:u w:val="single"/>
        </w:rPr>
        <w:t>Rebuilds</w:t>
      </w:r>
      <w:r w:rsidRPr="004A50A5">
        <w:t xml:space="preserve">. The PD describes </w:t>
      </w:r>
      <w:r w:rsidRPr="004A50A5">
        <w:rPr>
          <w:i/>
        </w:rPr>
        <w:t xml:space="preserve">Victory </w:t>
      </w:r>
      <w:r w:rsidRPr="004A50A5">
        <w:t xml:space="preserve">as a “nominal rebuild of the Victory disassembled in 1721, although probably an entirely new structure that did not include recycled timbers, but followed its predecessor’s scantlings.” This statement highlights a number of issues which should inform the PD. From the written sources we know that </w:t>
      </w:r>
      <w:r w:rsidRPr="004A50A5">
        <w:rPr>
          <w:i/>
        </w:rPr>
        <w:t xml:space="preserve">Victory </w:t>
      </w:r>
      <w:r w:rsidRPr="004A50A5">
        <w:t xml:space="preserve">was </w:t>
      </w:r>
      <w:r w:rsidRPr="004A50A5">
        <w:lastRenderedPageBreak/>
        <w:t>described as a rebuild of her predecessor. While the assertion that she was ‘probably an entirely new structure’ is not unlikely, it should form part of the research question of the PD. The discussion over rebuilds and the re-use of timber has been going on for a while in the historiography of shipbuilding in this period</w:t>
      </w:r>
      <w:r w:rsidRPr="004A50A5">
        <w:rPr>
          <w:rStyle w:val="FootnoteReference"/>
        </w:rPr>
        <w:footnoteReference w:id="12"/>
      </w:r>
      <w:r w:rsidRPr="004A50A5">
        <w:t xml:space="preserve">, but the research has largely been based on written sources. The </w:t>
      </w:r>
      <w:r w:rsidRPr="004A50A5">
        <w:rPr>
          <w:i/>
        </w:rPr>
        <w:t xml:space="preserve">Victory </w:t>
      </w:r>
      <w:r w:rsidRPr="004A50A5">
        <w:t>site has the potential to answer many of the questions that are impossible to answer from the written sources, however, this issue forms no part of the supposed ‘research-oriented’ PD. An assessment should be made as to whether the archaeological material can answer this question.</w:t>
      </w:r>
    </w:p>
    <w:p w14:paraId="6E271FA9" w14:textId="58CFBEC4" w:rsidR="00C52188" w:rsidRPr="004A50A5" w:rsidRDefault="00C52188" w:rsidP="007533A5">
      <w:pPr>
        <w:pStyle w:val="ListParagraph"/>
        <w:numPr>
          <w:ilvl w:val="0"/>
          <w:numId w:val="4"/>
        </w:numPr>
        <w:ind w:left="993" w:hanging="426"/>
      </w:pPr>
      <w:r w:rsidRPr="004A50A5">
        <w:rPr>
          <w:u w:val="single"/>
        </w:rPr>
        <w:t>Hull Form</w:t>
      </w:r>
      <w:r w:rsidRPr="004A50A5">
        <w:t xml:space="preserve">. The PD describes </w:t>
      </w:r>
      <w:r w:rsidRPr="004A50A5">
        <w:rPr>
          <w:i/>
        </w:rPr>
        <w:t xml:space="preserve">Victory </w:t>
      </w:r>
      <w:r w:rsidRPr="004A50A5">
        <w:t xml:space="preserve">as being “high-sided and crank due to defects in her proportions”. This has been a common assertion about </w:t>
      </w:r>
      <w:r w:rsidRPr="004A50A5">
        <w:rPr>
          <w:i/>
        </w:rPr>
        <w:t>Victory</w:t>
      </w:r>
      <w:r w:rsidRPr="004A50A5">
        <w:t>. It was made in 1733 by French shipwright Blaise Olivier when she was on the stocks at Portsmouth</w:t>
      </w:r>
      <w:r w:rsidRPr="004A50A5">
        <w:rPr>
          <w:rStyle w:val="FootnoteReference"/>
        </w:rPr>
        <w:footnoteReference w:id="13"/>
      </w:r>
      <w:r w:rsidR="00ED0250" w:rsidRPr="004A50A5">
        <w:t>.</w:t>
      </w:r>
      <w:r w:rsidRPr="004A50A5">
        <w:t xml:space="preserve"> It was made by John Norris which was noted by Surveyor of the Navy Jacob Acworth in 1740</w:t>
      </w:r>
      <w:r w:rsidRPr="004A50A5">
        <w:rPr>
          <w:rStyle w:val="FootnoteReference"/>
        </w:rPr>
        <w:footnoteReference w:id="14"/>
      </w:r>
      <w:r w:rsidR="002874FB" w:rsidRPr="004A50A5">
        <w:t xml:space="preserve">. </w:t>
      </w:r>
      <w:r w:rsidRPr="004A50A5">
        <w:t xml:space="preserve">These criticisms of </w:t>
      </w:r>
      <w:r w:rsidRPr="004A50A5">
        <w:rPr>
          <w:i/>
        </w:rPr>
        <w:t>Victory</w:t>
      </w:r>
      <w:r w:rsidRPr="004A50A5">
        <w:t xml:space="preserve">’s design have been transposed into the historiography of shipbuilding in the period without question. The PD also takes up this assertion that she was ‘high-sided and crank’ without question. The alleged poor quality of British warships from this period has dominated the naval historiography of this period. However, it has been based on insufficient evidence, and limited scrutiny of written sources. Naval officers often described their ships as being poorly built, and this should not be taken at face value. Nor should any speculative qualitative assessment of ships be attempted without a basis in scientific principles of hydro-statics and hydrodynamics. The question as to whether </w:t>
      </w:r>
      <w:r w:rsidRPr="004A50A5">
        <w:rPr>
          <w:i/>
        </w:rPr>
        <w:t xml:space="preserve">Victory </w:t>
      </w:r>
      <w:r w:rsidRPr="004A50A5">
        <w:t xml:space="preserve">was ‘crank’ is only that, a question. The PD should take this into account, and make an assessment of whether the archaeology can be used to answer this question, rather than make assumptions.  </w:t>
      </w:r>
    </w:p>
    <w:p w14:paraId="6DF684E9" w14:textId="48426FED" w:rsidR="00C52188" w:rsidRPr="004A50A5" w:rsidRDefault="00C52188" w:rsidP="007533A5">
      <w:pPr>
        <w:pStyle w:val="ListParagraph"/>
        <w:numPr>
          <w:ilvl w:val="0"/>
          <w:numId w:val="4"/>
        </w:numPr>
        <w:ind w:left="993" w:hanging="426"/>
      </w:pPr>
      <w:r w:rsidRPr="004A50A5">
        <w:rPr>
          <w:u w:val="single"/>
        </w:rPr>
        <w:t>Timber Supply</w:t>
      </w:r>
      <w:r w:rsidRPr="004A50A5">
        <w:t xml:space="preserve">. The PD states that “Her construction coincided with major logistical problems sourcing wood in the New Forest”. The question of timber supply delimited the historical narrative of naval shipbuilding in this period in 1926 when R.G. Albion published his seminal </w:t>
      </w:r>
      <w:r w:rsidRPr="004A50A5">
        <w:rPr>
          <w:i/>
        </w:rPr>
        <w:t>Forests and Seapower</w:t>
      </w:r>
      <w:r w:rsidRPr="004A50A5">
        <w:t>. In this book Albion argued that problems in naval shipbuilding mainly stemmed from problems in timber supply. However, over the near 100 years since its publication, Albion’s theory has been brought into question</w:t>
      </w:r>
      <w:r w:rsidR="005236A3" w:rsidRPr="004A50A5">
        <w:rPr>
          <w:rStyle w:val="FootnoteReference"/>
        </w:rPr>
        <w:footnoteReference w:id="15"/>
      </w:r>
      <w:r w:rsidRPr="004A50A5">
        <w:t>. The PD should take into account more recent research about timber supply to the Royal Dockyards and should consider</w:t>
      </w:r>
      <w:r w:rsidR="00073D65" w:rsidRPr="004A50A5">
        <w:t xml:space="preserve"> the</w:t>
      </w:r>
      <w:r w:rsidRPr="004A50A5">
        <w:t xml:space="preserve"> potential of the archaeology of the </w:t>
      </w:r>
      <w:r w:rsidRPr="004A50A5">
        <w:rPr>
          <w:i/>
        </w:rPr>
        <w:t>Victory</w:t>
      </w:r>
      <w:r w:rsidRPr="004A50A5">
        <w:t xml:space="preserve"> wreck in adding to the debate about timber supply in this period.</w:t>
      </w:r>
      <w:r w:rsidR="00615498" w:rsidRPr="004A50A5">
        <w:br/>
      </w:r>
    </w:p>
    <w:p w14:paraId="2555DBDA" w14:textId="6B9C73F3" w:rsidR="00A966D5" w:rsidRPr="004A50A5" w:rsidRDefault="00A966D5" w:rsidP="00AB3BB9">
      <w:pPr>
        <w:pStyle w:val="ListParagraph"/>
        <w:numPr>
          <w:ilvl w:val="0"/>
          <w:numId w:val="8"/>
        </w:numPr>
        <w:ind w:left="567" w:hanging="567"/>
      </w:pPr>
      <w:r w:rsidRPr="004A50A5">
        <w:rPr>
          <w:u w:val="single"/>
        </w:rPr>
        <w:t>Summary</w:t>
      </w:r>
      <w:r w:rsidRPr="004A50A5">
        <w:t xml:space="preserve">. </w:t>
      </w:r>
      <w:r w:rsidR="00615498" w:rsidRPr="004A50A5">
        <w:br/>
      </w:r>
      <w:r w:rsidR="00410E2D" w:rsidRPr="004A50A5">
        <w:t xml:space="preserve">Unfortunately, there appears to have been some </w:t>
      </w:r>
      <w:r w:rsidR="00EA14D6" w:rsidRPr="004A50A5">
        <w:t>misconceptions underpinning</w:t>
      </w:r>
      <w:r w:rsidR="007533A5" w:rsidRPr="004A50A5">
        <w:t xml:space="preserve"> the</w:t>
      </w:r>
      <w:r w:rsidR="00410E2D" w:rsidRPr="004A50A5">
        <w:t xml:space="preserve"> research objectives </w:t>
      </w:r>
      <w:r w:rsidR="005722D6" w:rsidRPr="004A50A5">
        <w:t>and the historical background in</w:t>
      </w:r>
      <w:r w:rsidR="00410E2D" w:rsidRPr="004A50A5">
        <w:t xml:space="preserve"> the PD. </w:t>
      </w:r>
      <w:r w:rsidR="00F93E18" w:rsidRPr="004A50A5">
        <w:t>Furthermore</w:t>
      </w:r>
      <w:r w:rsidR="00410E2D" w:rsidRPr="004A50A5">
        <w:t xml:space="preserve"> </w:t>
      </w:r>
      <w:r w:rsidR="00B40F24" w:rsidRPr="004A50A5">
        <w:rPr>
          <w:rFonts w:asciiTheme="minorHAnsi" w:hAnsiTheme="minorHAnsi"/>
        </w:rPr>
        <w:t>JNAPC is concerned that monetisation of this site may be a key driver for the intervention.</w:t>
      </w:r>
      <w:r w:rsidR="00415ED2" w:rsidRPr="004A50A5">
        <w:t xml:space="preserve"> Well publicised statements such as </w:t>
      </w:r>
      <w:r w:rsidR="00415ED2" w:rsidRPr="004A50A5">
        <w:rPr>
          <w:i/>
        </w:rPr>
        <w:t xml:space="preserve">“OMEX receives 80% of coin value and 50% of artifact value from salvage (under terms </w:t>
      </w:r>
      <w:r w:rsidR="00415ED2" w:rsidRPr="004A50A5">
        <w:rPr>
          <w:i/>
        </w:rPr>
        <w:lastRenderedPageBreak/>
        <w:t xml:space="preserve">of 2012 agreement)” </w:t>
      </w:r>
      <w:r w:rsidR="00415ED2" w:rsidRPr="004A50A5">
        <w:t xml:space="preserve">and </w:t>
      </w:r>
      <w:r w:rsidR="00415ED2" w:rsidRPr="004A50A5">
        <w:rPr>
          <w:i/>
        </w:rPr>
        <w:t>“</w:t>
      </w:r>
      <w:r w:rsidR="00CD5823" w:rsidRPr="004A50A5">
        <w:rPr>
          <w:i/>
        </w:rPr>
        <w:t>Our base-case assumes a $270 million recovery with net profit of $170 million to OMEX”</w:t>
      </w:r>
      <w:r w:rsidR="00CD5823" w:rsidRPr="004A50A5">
        <w:t xml:space="preserve"> attest to this discrepancy</w:t>
      </w:r>
      <w:r w:rsidR="00CD5823" w:rsidRPr="004A50A5">
        <w:rPr>
          <w:rStyle w:val="FootnoteReference"/>
        </w:rPr>
        <w:footnoteReference w:id="16"/>
      </w:r>
      <w:r w:rsidR="00CD5823" w:rsidRPr="004A50A5">
        <w:t>.</w:t>
      </w:r>
    </w:p>
    <w:p w14:paraId="69E001C0" w14:textId="77777777" w:rsidR="006527E5" w:rsidRPr="004A50A5" w:rsidRDefault="006527E5" w:rsidP="006527E5">
      <w:pPr>
        <w:rPr>
          <w:b/>
        </w:rPr>
      </w:pPr>
      <w:r w:rsidRPr="004A50A5">
        <w:rPr>
          <w:b/>
        </w:rPr>
        <w:t>Budget and Funding</w:t>
      </w:r>
    </w:p>
    <w:p w14:paraId="51B00E7F" w14:textId="2DC8CB9E" w:rsidR="00CA0749" w:rsidRPr="004A50A5" w:rsidRDefault="00CA0749" w:rsidP="007533A5">
      <w:pPr>
        <w:pStyle w:val="ListParagraph"/>
        <w:numPr>
          <w:ilvl w:val="0"/>
          <w:numId w:val="5"/>
        </w:numPr>
        <w:ind w:left="567" w:hanging="567"/>
      </w:pPr>
      <w:r w:rsidRPr="004A50A5">
        <w:rPr>
          <w:lang w:val="en-US"/>
        </w:rPr>
        <w:t>If OME public statements with reference to funding for the site are correct</w:t>
      </w:r>
      <w:r w:rsidR="00947A60" w:rsidRPr="004A50A5">
        <w:rPr>
          <w:lang w:val="en-US"/>
        </w:rPr>
        <w:t>,</w:t>
      </w:r>
      <w:r w:rsidRPr="004A50A5">
        <w:rPr>
          <w:lang w:val="en-US"/>
        </w:rPr>
        <w:t xml:space="preserve"> the project does not meet the requirements of the </w:t>
      </w:r>
      <w:r w:rsidR="00C04B95" w:rsidRPr="004A50A5">
        <w:rPr>
          <w:lang w:val="en-US"/>
        </w:rPr>
        <w:t>Annex</w:t>
      </w:r>
      <w:r w:rsidRPr="004A50A5">
        <w:rPr>
          <w:lang w:val="en-US"/>
        </w:rPr>
        <w:t>,</w:t>
      </w:r>
      <w:r w:rsidR="001F3FBA" w:rsidRPr="004A50A5">
        <w:rPr>
          <w:lang w:val="en-US"/>
        </w:rPr>
        <w:t xml:space="preserve"> and</w:t>
      </w:r>
      <w:r w:rsidRPr="004A50A5">
        <w:rPr>
          <w:lang w:val="en-US"/>
        </w:rPr>
        <w:t xml:space="preserve"> to say that it meets the ‘archaeological principals</w:t>
      </w:r>
      <w:r w:rsidR="001F3FBA" w:rsidRPr="004A50A5">
        <w:rPr>
          <w:lang w:val="en-US"/>
        </w:rPr>
        <w:t>’ is incorrect as funding, etc.,</w:t>
      </w:r>
      <w:r w:rsidR="009E6F2B" w:rsidRPr="004A50A5">
        <w:rPr>
          <w:lang w:val="en-US"/>
        </w:rPr>
        <w:t xml:space="preserve"> </w:t>
      </w:r>
      <w:r w:rsidRPr="004A50A5">
        <w:rPr>
          <w:lang w:val="en-US"/>
        </w:rPr>
        <w:t>are all part of archaeology.</w:t>
      </w:r>
    </w:p>
    <w:p w14:paraId="6A28FF9E" w14:textId="77777777" w:rsidR="006527E5" w:rsidRPr="004A50A5" w:rsidRDefault="006527E5" w:rsidP="007533A5">
      <w:pPr>
        <w:pStyle w:val="ListParagraph"/>
        <w:numPr>
          <w:ilvl w:val="0"/>
          <w:numId w:val="5"/>
        </w:numPr>
        <w:ind w:left="567" w:hanging="567"/>
      </w:pPr>
      <w:r w:rsidRPr="004A50A5">
        <w:t xml:space="preserve">Funding and Contingency Plan item 8: </w:t>
      </w:r>
    </w:p>
    <w:p w14:paraId="41E3364D" w14:textId="77777777" w:rsidR="006527E5" w:rsidRPr="004A50A5" w:rsidRDefault="006527E5" w:rsidP="00AB3BB9">
      <w:pPr>
        <w:ind w:left="993" w:hanging="426"/>
      </w:pPr>
      <w:r w:rsidRPr="004A50A5">
        <w:t xml:space="preserve">a.  </w:t>
      </w:r>
      <w:r w:rsidRPr="004A50A5">
        <w:tab/>
        <w:t>The PD states that “</w:t>
      </w:r>
      <w:r w:rsidRPr="004A50A5">
        <w:rPr>
          <w:i/>
        </w:rPr>
        <w:t>Odyssey will provide a funding base sufficient to complete all Stages 1-9 and 11 including Phase 1-8 fieldwork, artefact conservation, documentation, and curation of recovered artefacts, site stabilisation, and report preparation and publication</w:t>
      </w:r>
      <w:r w:rsidRPr="004A50A5">
        <w:t xml:space="preserve">”. This specifically excludes Stage 10 which is Museum Display. It appears that no agreement has been made with any museum to house the collection and that there is no funding for a future museum. Unless the </w:t>
      </w:r>
      <w:r w:rsidR="00EF50D8" w:rsidRPr="004A50A5">
        <w:t>MHF</w:t>
      </w:r>
      <w:r w:rsidRPr="004A50A5">
        <w:t xml:space="preserve"> can show otherwise, the PD is not compliant with the Annex. The MHF must answer the question: what organisation or museum has been contracted to undertake museum display, what will this cost </w:t>
      </w:r>
      <w:r w:rsidR="0081414F" w:rsidRPr="004A50A5">
        <w:t xml:space="preserve">be </w:t>
      </w:r>
      <w:r w:rsidRPr="004A50A5">
        <w:t>and by whom will it be funded?</w:t>
      </w:r>
    </w:p>
    <w:p w14:paraId="44A70303" w14:textId="77777777" w:rsidR="006527E5" w:rsidRPr="004A50A5" w:rsidRDefault="006527E5" w:rsidP="00AB3BB9">
      <w:pPr>
        <w:ind w:left="993" w:hanging="426"/>
      </w:pPr>
      <w:r w:rsidRPr="004A50A5">
        <w:t xml:space="preserve">b.  </w:t>
      </w:r>
      <w:r w:rsidRPr="004A50A5">
        <w:tab/>
        <w:t>There is no detailed budget for the whole project and how the project will be funded in full, which means that the PD is not compliant with the Annex</w:t>
      </w:r>
    </w:p>
    <w:p w14:paraId="562B582A" w14:textId="066A60AD" w:rsidR="006527E5" w:rsidRPr="004A50A5" w:rsidRDefault="006527E5" w:rsidP="00AB3BB9">
      <w:pPr>
        <w:ind w:left="993" w:hanging="426"/>
      </w:pPr>
      <w:r w:rsidRPr="004A50A5">
        <w:t xml:space="preserve">c.  </w:t>
      </w:r>
      <w:r w:rsidR="001F32CD" w:rsidRPr="004A50A5">
        <w:tab/>
      </w:r>
      <w:r w:rsidRPr="004A50A5">
        <w:t>It is not clear what is meant by “</w:t>
      </w:r>
      <w:r w:rsidRPr="004A50A5">
        <w:rPr>
          <w:i/>
        </w:rPr>
        <w:t>Odyssey will provide a funding base</w:t>
      </w:r>
      <w:r w:rsidRPr="004A50A5">
        <w:t xml:space="preserve">”. Does this mean that </w:t>
      </w:r>
      <w:r w:rsidR="00C04B95" w:rsidRPr="004A50A5">
        <w:t xml:space="preserve">OME </w:t>
      </w:r>
      <w:r w:rsidRPr="004A50A5">
        <w:t>will fund the project until it is repaid by the MHF (i.e. a loan) or will OME provide the proposed funding with no obligation to be repaid? OME, however, continues to remind its shareholders and the public that is has a salvage contract with the MHF (</w:t>
      </w:r>
      <w:r w:rsidR="0081414F" w:rsidRPr="004A50A5">
        <w:t>see above</w:t>
      </w:r>
      <w:r w:rsidRPr="004A50A5">
        <w:t xml:space="preserve">) and that it expects the </w:t>
      </w:r>
      <w:r w:rsidRPr="004A50A5">
        <w:rPr>
          <w:i/>
        </w:rPr>
        <w:t>Victory</w:t>
      </w:r>
      <w:r w:rsidRPr="004A50A5">
        <w:t xml:space="preserve"> contract to be very profitable for the company. </w:t>
      </w:r>
      <w:r w:rsidR="002874FB" w:rsidRPr="004A50A5">
        <w:t xml:space="preserve">It would appear that </w:t>
      </w:r>
      <w:r w:rsidRPr="004A50A5">
        <w:t xml:space="preserve">the contract entitles OME to be paid for all work done and to also receive a payment of 50% of the value of items transferred under the Deed of Gift including the cannon (even if the sale of these is not permitted by the MOD and they go into a museum collection), and 80% of the value of non-Government owned artefacts including gold bullion and the personal possessions of crew lost in the sinking. </w:t>
      </w:r>
    </w:p>
    <w:p w14:paraId="57E22770" w14:textId="77777777" w:rsidR="006527E5" w:rsidRPr="004A50A5" w:rsidRDefault="001F32CD" w:rsidP="00AB3BB9">
      <w:pPr>
        <w:ind w:left="993" w:hanging="426"/>
      </w:pPr>
      <w:r w:rsidRPr="004A50A5">
        <w:t xml:space="preserve">d. </w:t>
      </w:r>
      <w:r w:rsidRPr="004A50A5">
        <w:tab/>
        <w:t>Unless</w:t>
      </w:r>
      <w:r w:rsidR="006527E5" w:rsidRPr="004A50A5">
        <w:t xml:space="preserve"> this contract has been changed or rescinded it would appear that the MHF will have to sell or gift artefacts from the wreck to satisfy its obligations under the contract. Both these actions would be commercial exploitation of the wreck and be in breach of the Annex.</w:t>
      </w:r>
    </w:p>
    <w:p w14:paraId="1A0FC7E9" w14:textId="77777777" w:rsidR="006527E5" w:rsidRPr="004A50A5" w:rsidRDefault="006527E5" w:rsidP="00AB3BB9">
      <w:pPr>
        <w:ind w:left="993" w:hanging="426"/>
      </w:pPr>
      <w:r w:rsidRPr="004A50A5">
        <w:t>e</w:t>
      </w:r>
      <w:r w:rsidR="001F32CD" w:rsidRPr="004A50A5">
        <w:t>.</w:t>
      </w:r>
      <w:r w:rsidRPr="004A50A5">
        <w:t xml:space="preserve">  </w:t>
      </w:r>
      <w:r w:rsidR="001F32CD" w:rsidRPr="004A50A5">
        <w:tab/>
      </w:r>
      <w:r w:rsidRPr="004A50A5">
        <w:t xml:space="preserve">The bond of $532,500 lodged with the MOD is insufficient to fund the work on the site if OME fails to meet its funding offer. The work on site and thereafter, including many months of work already carried out up to 2012 for Phases 1 and 2, will cost many millions of </w:t>
      </w:r>
      <w:r w:rsidR="00AB0642" w:rsidRPr="004A50A5">
        <w:t>pounds sterling</w:t>
      </w:r>
      <w:r w:rsidRPr="004A50A5">
        <w:t>. Regrettably the MHF has failed to provide a comprehensive budget in the PD and so the likely figure is not known. Furthermore, unless some form of security has been given for the bond or it has been guaranteed by a third party, it could have no value if OME became unable to meet its financial commitments.</w:t>
      </w:r>
    </w:p>
    <w:p w14:paraId="6A74EF69" w14:textId="458C9636" w:rsidR="006527E5" w:rsidRPr="004A50A5" w:rsidRDefault="001F32CD" w:rsidP="00AB3BB9">
      <w:pPr>
        <w:ind w:left="993" w:hanging="426"/>
      </w:pPr>
      <w:r w:rsidRPr="004A50A5">
        <w:lastRenderedPageBreak/>
        <w:t>f.</w:t>
      </w:r>
      <w:r w:rsidR="006527E5" w:rsidRPr="004A50A5">
        <w:t xml:space="preserve">  </w:t>
      </w:r>
      <w:r w:rsidRPr="004A50A5">
        <w:tab/>
      </w:r>
      <w:r w:rsidR="00C04B95" w:rsidRPr="004A50A5">
        <w:t>Therefore, i</w:t>
      </w:r>
      <w:r w:rsidR="006527E5" w:rsidRPr="004A50A5">
        <w:t>f in future the project can comply with the Annex and is permitted to proceed, OME should be required to deposit sufficient funds in advance to pay the costs it has agreed to cover.</w:t>
      </w:r>
    </w:p>
    <w:p w14:paraId="23119113" w14:textId="77777777" w:rsidR="006527E5" w:rsidRPr="004A50A5" w:rsidRDefault="001F32CD" w:rsidP="00AB3BB9">
      <w:pPr>
        <w:ind w:left="993" w:hanging="426"/>
      </w:pPr>
      <w:r w:rsidRPr="004A50A5">
        <w:t>g.</w:t>
      </w:r>
      <w:r w:rsidR="006527E5" w:rsidRPr="004A50A5">
        <w:t xml:space="preserve">  </w:t>
      </w:r>
      <w:r w:rsidRPr="004A50A5">
        <w:tab/>
      </w:r>
      <w:r w:rsidR="006527E5" w:rsidRPr="004A50A5">
        <w:t>The financing arrangements for the project are neither clear nor transparent and therefore the PD is not compliant with the Annex in respect of funding. The MHF must answer the</w:t>
      </w:r>
      <w:r w:rsidRPr="004A50A5">
        <w:t>se</w:t>
      </w:r>
      <w:r w:rsidR="006527E5" w:rsidRPr="004A50A5">
        <w:t xml:space="preserve"> questions</w:t>
      </w:r>
      <w:r w:rsidRPr="004A50A5">
        <w:t xml:space="preserve"> unequivocally</w:t>
      </w:r>
      <w:r w:rsidR="006527E5" w:rsidRPr="004A50A5">
        <w:t>:</w:t>
      </w:r>
    </w:p>
    <w:p w14:paraId="73F73807" w14:textId="77777777" w:rsidR="006527E5" w:rsidRPr="004A50A5" w:rsidRDefault="006527E5" w:rsidP="00AB3BB9">
      <w:pPr>
        <w:pStyle w:val="ListParagraph"/>
        <w:numPr>
          <w:ilvl w:val="1"/>
          <w:numId w:val="5"/>
        </w:numPr>
        <w:ind w:left="1418" w:hanging="283"/>
      </w:pPr>
      <w:r w:rsidRPr="004A50A5">
        <w:t>Is the salvage contract with OME still in place? If so how does the MHF propose to</w:t>
      </w:r>
      <w:r w:rsidR="001F32CD" w:rsidRPr="004A50A5">
        <w:t xml:space="preserve"> </w:t>
      </w:r>
      <w:r w:rsidRPr="004A50A5">
        <w:t>find the money to pay OME?</w:t>
      </w:r>
    </w:p>
    <w:p w14:paraId="6E2D523C" w14:textId="77777777" w:rsidR="006527E5" w:rsidRPr="004A50A5" w:rsidRDefault="006527E5" w:rsidP="00AB3BB9">
      <w:pPr>
        <w:pStyle w:val="ListParagraph"/>
        <w:numPr>
          <w:ilvl w:val="1"/>
          <w:numId w:val="5"/>
        </w:numPr>
        <w:ind w:left="1418" w:hanging="283"/>
      </w:pPr>
      <w:r w:rsidRPr="004A50A5">
        <w:t>Does the MHF propose to sell any artefacts (including bullion) or to gift any artefacts to OME?</w:t>
      </w:r>
    </w:p>
    <w:p w14:paraId="5BB8C500" w14:textId="77777777" w:rsidR="006527E5" w:rsidRPr="004A50A5" w:rsidRDefault="006527E5" w:rsidP="00AB3BB9">
      <w:pPr>
        <w:pStyle w:val="ListParagraph"/>
        <w:numPr>
          <w:ilvl w:val="1"/>
          <w:numId w:val="5"/>
        </w:numPr>
        <w:ind w:left="1418" w:hanging="283"/>
      </w:pPr>
      <w:r w:rsidRPr="004A50A5">
        <w:t>What is the exact financial agreement with OME?</w:t>
      </w:r>
    </w:p>
    <w:p w14:paraId="5A6A7EEB" w14:textId="77777777" w:rsidR="006527E5" w:rsidRPr="004A50A5" w:rsidRDefault="006527E5" w:rsidP="00AB3BB9">
      <w:pPr>
        <w:pStyle w:val="ListParagraph"/>
        <w:numPr>
          <w:ilvl w:val="1"/>
          <w:numId w:val="5"/>
        </w:numPr>
        <w:ind w:left="1418" w:hanging="283"/>
      </w:pPr>
      <w:r w:rsidRPr="004A50A5">
        <w:t xml:space="preserve">How does </w:t>
      </w:r>
      <w:r w:rsidR="00F63B40" w:rsidRPr="004A50A5">
        <w:t xml:space="preserve">the </w:t>
      </w:r>
      <w:r w:rsidRPr="004A50A5">
        <w:t>MHF propose to fund the museum display and are those funds already in</w:t>
      </w:r>
      <w:r w:rsidR="001F32CD" w:rsidRPr="004A50A5">
        <w:t xml:space="preserve"> </w:t>
      </w:r>
      <w:r w:rsidRPr="004A50A5">
        <w:t>place?</w:t>
      </w:r>
    </w:p>
    <w:p w14:paraId="4293E91E" w14:textId="168D8D98" w:rsidR="006527E5" w:rsidRPr="004A50A5" w:rsidRDefault="006527E5" w:rsidP="00AB3BB9">
      <w:pPr>
        <w:pStyle w:val="ListParagraph"/>
        <w:numPr>
          <w:ilvl w:val="1"/>
          <w:numId w:val="5"/>
        </w:numPr>
        <w:ind w:left="1418" w:hanging="283"/>
      </w:pPr>
      <w:r w:rsidRPr="004A50A5">
        <w:t xml:space="preserve">Is the bond provided by OME secured in any way (e.g. with a cash deposit or by a </w:t>
      </w:r>
      <w:r w:rsidR="009E6F2B" w:rsidRPr="004A50A5">
        <w:t>bank</w:t>
      </w:r>
      <w:r w:rsidRPr="004A50A5">
        <w:t>)?</w:t>
      </w:r>
      <w:r w:rsidR="001078C1" w:rsidRPr="004A50A5">
        <w:br/>
      </w:r>
    </w:p>
    <w:p w14:paraId="3F630561" w14:textId="2726A586" w:rsidR="00B81916" w:rsidRPr="004A50A5" w:rsidRDefault="00B81916" w:rsidP="00B81916">
      <w:pPr>
        <w:pStyle w:val="ListParagraph"/>
        <w:numPr>
          <w:ilvl w:val="0"/>
          <w:numId w:val="5"/>
        </w:numPr>
        <w:ind w:left="426" w:hanging="426"/>
      </w:pPr>
      <w:r w:rsidRPr="004A50A5">
        <w:rPr>
          <w:u w:val="single"/>
        </w:rPr>
        <w:t>Summary</w:t>
      </w:r>
      <w:r w:rsidRPr="004A50A5">
        <w:t xml:space="preserve">. </w:t>
      </w:r>
      <w:r w:rsidR="001078C1" w:rsidRPr="004A50A5">
        <w:br/>
      </w:r>
      <w:r w:rsidRPr="004A50A5">
        <w:t xml:space="preserve">The financial arrangements </w:t>
      </w:r>
      <w:r w:rsidR="00C54DB1" w:rsidRPr="004A50A5">
        <w:t>agreed</w:t>
      </w:r>
      <w:r w:rsidRPr="004A50A5">
        <w:t xml:space="preserve"> between OME and MHF </w:t>
      </w:r>
      <w:r w:rsidR="00C04B95" w:rsidRPr="004A50A5">
        <w:t>are unclear</w:t>
      </w:r>
      <w:r w:rsidR="00AB3BB9" w:rsidRPr="004A50A5">
        <w:t xml:space="preserve">. </w:t>
      </w:r>
      <w:r w:rsidR="00F26B3D" w:rsidRPr="004A50A5">
        <w:t>They</w:t>
      </w:r>
      <w:r w:rsidR="00C04B95" w:rsidRPr="004A50A5">
        <w:t xml:space="preserve"> appear to</w:t>
      </w:r>
      <w:r w:rsidR="00F26B3D" w:rsidRPr="004A50A5">
        <w:t xml:space="preserve"> breach the rules of the Annex and therefore UK Heritage policy, and on this point alone no further </w:t>
      </w:r>
      <w:r w:rsidR="009E6F2B" w:rsidRPr="004A50A5">
        <w:t xml:space="preserve">licences or </w:t>
      </w:r>
      <w:r w:rsidR="00F26B3D" w:rsidRPr="004A50A5">
        <w:t>permissions should be granted until the project fully complies in this respect</w:t>
      </w:r>
      <w:r w:rsidR="00A966D5" w:rsidRPr="004A50A5">
        <w:t>.</w:t>
      </w:r>
    </w:p>
    <w:p w14:paraId="54D24024" w14:textId="77777777" w:rsidR="00B70A68" w:rsidRPr="004A50A5" w:rsidRDefault="00B81916">
      <w:pPr>
        <w:rPr>
          <w:b/>
        </w:rPr>
      </w:pPr>
      <w:r w:rsidRPr="004A50A5">
        <w:rPr>
          <w:b/>
        </w:rPr>
        <w:t>Conclusion</w:t>
      </w:r>
    </w:p>
    <w:p w14:paraId="3886CCF9" w14:textId="59393E8E" w:rsidR="00B81916" w:rsidRDefault="005048DE">
      <w:r w:rsidRPr="004A50A5">
        <w:t>The JNAPC, having assess</w:t>
      </w:r>
      <w:r w:rsidR="00FF7935" w:rsidRPr="004A50A5">
        <w:t>ed</w:t>
      </w:r>
      <w:r w:rsidRPr="004A50A5">
        <w:t xml:space="preserve"> the project documentation</w:t>
      </w:r>
      <w:r w:rsidR="009E6F2B" w:rsidRPr="004A50A5">
        <w:t>,</w:t>
      </w:r>
      <w:r w:rsidRPr="004A50A5">
        <w:t xml:space="preserve"> cannot support this project </w:t>
      </w:r>
      <w:r w:rsidR="00E154FC" w:rsidRPr="004A50A5">
        <w:t>or</w:t>
      </w:r>
      <w:r w:rsidRPr="004A50A5">
        <w:t xml:space="preserve"> the MMO licence application until major and far reaching changes have been made and unequivocal assurances </w:t>
      </w:r>
      <w:r w:rsidR="00900F10" w:rsidRPr="004A50A5">
        <w:t>of compliance with existing UK heritage policy have been substantiated.</w:t>
      </w:r>
      <w:r w:rsidR="00900F10" w:rsidRPr="00AD650F">
        <w:t xml:space="preserve"> </w:t>
      </w:r>
      <w:r w:rsidR="00F93E18" w:rsidRPr="00AD650F">
        <w:t xml:space="preserve"> </w:t>
      </w:r>
    </w:p>
    <w:p w14:paraId="35089F91" w14:textId="77777777" w:rsidR="00676156" w:rsidRDefault="00676156"/>
    <w:p w14:paraId="26DE5E56" w14:textId="13875B91" w:rsidR="00676156" w:rsidRPr="00AD650F" w:rsidRDefault="00676156">
      <w:r>
        <w:t>29</w:t>
      </w:r>
      <w:r w:rsidRPr="00676156">
        <w:rPr>
          <w:vertAlign w:val="superscript"/>
        </w:rPr>
        <w:t>th</w:t>
      </w:r>
      <w:r>
        <w:t xml:space="preserve"> October 2015</w:t>
      </w:r>
    </w:p>
    <w:sectPr w:rsidR="00676156" w:rsidRPr="00AD650F" w:rsidSect="007B0F15">
      <w:footerReference w:type="default" r:id="rId9"/>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F60DCBD" w15:done="0"/>
  <w15:commentEx w15:paraId="6C623558" w15:done="0"/>
  <w15:commentEx w15:paraId="251B3711" w15:done="0"/>
  <w15:commentEx w15:paraId="201C5FAB" w15:done="0"/>
  <w15:commentEx w15:paraId="7B8EEA73" w15:done="0"/>
  <w15:commentEx w15:paraId="34C53AF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83921E" w14:textId="77777777" w:rsidR="006F2D47" w:rsidRDefault="006F2D47" w:rsidP="00C52188">
      <w:pPr>
        <w:spacing w:after="0" w:line="240" w:lineRule="auto"/>
      </w:pPr>
      <w:r>
        <w:separator/>
      </w:r>
    </w:p>
  </w:endnote>
  <w:endnote w:type="continuationSeparator" w:id="0">
    <w:p w14:paraId="19C38AAD" w14:textId="77777777" w:rsidR="006F2D47" w:rsidRDefault="006F2D47" w:rsidP="00C521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3CDC16" w14:textId="77777777" w:rsidR="00E23B63" w:rsidRDefault="007B0F15">
    <w:pPr>
      <w:pStyle w:val="Footer"/>
      <w:jc w:val="center"/>
    </w:pPr>
    <w:r>
      <w:fldChar w:fldCharType="begin"/>
    </w:r>
    <w:r w:rsidR="00E23B63">
      <w:instrText xml:space="preserve"> PAGE   \* MERGEFORMAT </w:instrText>
    </w:r>
    <w:r>
      <w:fldChar w:fldCharType="separate"/>
    </w:r>
    <w:r w:rsidR="00F97506">
      <w:rPr>
        <w:noProof/>
      </w:rPr>
      <w:t>1</w:t>
    </w:r>
    <w:r>
      <w:rPr>
        <w:noProof/>
      </w:rPr>
      <w:fldChar w:fldCharType="end"/>
    </w:r>
  </w:p>
  <w:p w14:paraId="2ED43DD1" w14:textId="77777777" w:rsidR="00E23B63" w:rsidRDefault="00E23B6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ABE3A7" w14:textId="77777777" w:rsidR="006F2D47" w:rsidRDefault="006F2D47" w:rsidP="00C52188">
      <w:pPr>
        <w:spacing w:after="0" w:line="240" w:lineRule="auto"/>
      </w:pPr>
      <w:r>
        <w:separator/>
      </w:r>
    </w:p>
  </w:footnote>
  <w:footnote w:type="continuationSeparator" w:id="0">
    <w:p w14:paraId="6BF71BAF" w14:textId="77777777" w:rsidR="006F2D47" w:rsidRDefault="006F2D47" w:rsidP="00C52188">
      <w:pPr>
        <w:spacing w:after="0" w:line="240" w:lineRule="auto"/>
      </w:pPr>
      <w:r>
        <w:continuationSeparator/>
      </w:r>
    </w:p>
  </w:footnote>
  <w:footnote w:id="1">
    <w:p w14:paraId="09A91A10" w14:textId="29927D14" w:rsidR="00E2558A" w:rsidRDefault="00E2558A">
      <w:pPr>
        <w:pStyle w:val="FootnoteText"/>
      </w:pPr>
      <w:r>
        <w:rPr>
          <w:rStyle w:val="FootnoteReference"/>
        </w:rPr>
        <w:footnoteRef/>
      </w:r>
      <w:r>
        <w:t xml:space="preserve"> See JNAPC letter of 19</w:t>
      </w:r>
      <w:r w:rsidRPr="009E6F2B">
        <w:rPr>
          <w:vertAlign w:val="superscript"/>
        </w:rPr>
        <w:t>th</w:t>
      </w:r>
      <w:r>
        <w:t xml:space="preserve"> July 2015 in response to MMO consultation on HMS Victory Licence Application, item 5 page 8</w:t>
      </w:r>
    </w:p>
  </w:footnote>
  <w:footnote w:id="2">
    <w:p w14:paraId="052A06AD" w14:textId="77777777" w:rsidR="0064513F" w:rsidRDefault="0064513F">
      <w:pPr>
        <w:pStyle w:val="FootnoteText"/>
      </w:pPr>
      <w:r>
        <w:rPr>
          <w:rStyle w:val="FootnoteReference"/>
        </w:rPr>
        <w:footnoteRef/>
      </w:r>
      <w:r>
        <w:t xml:space="preserve"> </w:t>
      </w:r>
      <w:r w:rsidRPr="0064513F">
        <w:t>Hansard, House of Commons, Written Answers for 24 January 2005, Col. 46W.</w:t>
      </w:r>
    </w:p>
  </w:footnote>
  <w:footnote w:id="3">
    <w:p w14:paraId="384EDBE3" w14:textId="77777777" w:rsidR="00CA1359" w:rsidRDefault="00CA1359">
      <w:pPr>
        <w:pStyle w:val="FootnoteText"/>
      </w:pPr>
      <w:r>
        <w:rPr>
          <w:rStyle w:val="FootnoteReference"/>
        </w:rPr>
        <w:footnoteRef/>
      </w:r>
      <w:r>
        <w:t xml:space="preserve"> </w:t>
      </w:r>
      <w:r w:rsidRPr="00CA1359">
        <w:t>http://www.parliament.uk/business/publications/written-questions-answers-statements/written-question/Commons/2014-10-28/212334/ ; Letter dated 27 March 2013 to R. Yorke, Chair JNAPC from Mr. Giles Ahern, Deputy Command Secretary at the MoD's Navy Command.</w:t>
      </w:r>
    </w:p>
  </w:footnote>
  <w:footnote w:id="4">
    <w:p w14:paraId="4456606B" w14:textId="77777777" w:rsidR="00C52188" w:rsidRDefault="00C52188" w:rsidP="00C52188">
      <w:pPr>
        <w:pStyle w:val="FootnoteText"/>
      </w:pPr>
      <w:r>
        <w:rPr>
          <w:rStyle w:val="FootnoteReference"/>
        </w:rPr>
        <w:footnoteRef/>
      </w:r>
      <w:r>
        <w:t xml:space="preserve">  Kingsley, S.</w:t>
      </w:r>
      <w:r w:rsidR="00497519">
        <w:t>,</w:t>
      </w:r>
      <w:r w:rsidRPr="004C148C">
        <w:t xml:space="preserve"> </w:t>
      </w:r>
      <w:r w:rsidRPr="00497519">
        <w:t>Underwater Cultural Heritage &amp; UNESCO in New Orleans: An Introduction</w:t>
      </w:r>
      <w:r w:rsidRPr="004C148C">
        <w:t>,  London, UK, Odyssey Marine Exploration Papers 13 (2010)</w:t>
      </w:r>
    </w:p>
  </w:footnote>
  <w:footnote w:id="5">
    <w:p w14:paraId="40BDB141" w14:textId="77777777" w:rsidR="00073D65" w:rsidRDefault="00073D65" w:rsidP="00073D65">
      <w:pPr>
        <w:pStyle w:val="FootnoteText"/>
        <w:rPr>
          <w:bCs/>
        </w:rPr>
      </w:pPr>
      <w:r>
        <w:rPr>
          <w:rStyle w:val="FootnoteReference"/>
        </w:rPr>
        <w:footnoteRef/>
      </w:r>
      <w:r>
        <w:t xml:space="preserve"> O’Keefe, P.J. </w:t>
      </w:r>
      <w:r>
        <w:rPr>
          <w:b/>
          <w:bCs/>
        </w:rPr>
        <w:t>‘</w:t>
      </w:r>
      <w:r>
        <w:rPr>
          <w:bCs/>
        </w:rPr>
        <w:t xml:space="preserve">Commercial Exploitation: Its Prohibition in the </w:t>
      </w:r>
      <w:r w:rsidR="00AD650F">
        <w:rPr>
          <w:bCs/>
        </w:rPr>
        <w:t>UNESCO</w:t>
      </w:r>
      <w:r>
        <w:rPr>
          <w:bCs/>
        </w:rPr>
        <w:t xml:space="preserve"> Convention on Protection of the</w:t>
      </w:r>
    </w:p>
    <w:p w14:paraId="4845CFEC" w14:textId="77777777" w:rsidR="00073D65" w:rsidRDefault="00073D65" w:rsidP="00073D65">
      <w:pPr>
        <w:pStyle w:val="FootnoteText"/>
      </w:pPr>
      <w:r>
        <w:rPr>
          <w:bCs/>
        </w:rPr>
        <w:t>Underwater Cultural Heritage 2001 and Other Instruments’ Vol XVIII (2) 2013 pp.129-148 at p.139</w:t>
      </w:r>
    </w:p>
  </w:footnote>
  <w:footnote w:id="6">
    <w:p w14:paraId="39466B40" w14:textId="77777777" w:rsidR="00073D65" w:rsidRDefault="00073D65" w:rsidP="00073D65">
      <w:pPr>
        <w:pStyle w:val="FootnoteText"/>
      </w:pPr>
      <w:r>
        <w:rPr>
          <w:rStyle w:val="FootnoteReference"/>
        </w:rPr>
        <w:footnoteRef/>
      </w:r>
      <w:r>
        <w:t xml:space="preserve"> ‘</w:t>
      </w:r>
      <w:r>
        <w:rPr>
          <w:bCs/>
        </w:rPr>
        <w:t>Manual for Activities directed at Underwater Cultural Heritage</w:t>
      </w:r>
      <w:r>
        <w:rPr>
          <w:b/>
          <w:bCs/>
        </w:rPr>
        <w:t>.</w:t>
      </w:r>
      <w:r w:rsidR="005F690F">
        <w:rPr>
          <w:b/>
          <w:bCs/>
        </w:rPr>
        <w:t xml:space="preserve"> </w:t>
      </w:r>
      <w:r>
        <w:t xml:space="preserve">Guidelines to the Annex of the UNESCO 2001 Convention’ Ed. </w:t>
      </w:r>
      <w:proofErr w:type="spellStart"/>
      <w:r>
        <w:t>Prof.</w:t>
      </w:r>
      <w:proofErr w:type="spellEnd"/>
      <w:r>
        <w:t xml:space="preserve"> Dr. Thijs Maarleveld, Dr. Ulrike Guérin, Barbara Egger UNESCO 2013.</w:t>
      </w:r>
    </w:p>
  </w:footnote>
  <w:footnote w:id="7">
    <w:p w14:paraId="5D8D39E9" w14:textId="77777777" w:rsidR="00073D65" w:rsidRDefault="00073D65" w:rsidP="00073D65">
      <w:pPr>
        <w:pStyle w:val="FootnoteText"/>
      </w:pPr>
      <w:r>
        <w:rPr>
          <w:rStyle w:val="FootnoteReference"/>
        </w:rPr>
        <w:footnoteRef/>
      </w:r>
      <w:r>
        <w:t xml:space="preserve"> Ibid. at p.35</w:t>
      </w:r>
    </w:p>
  </w:footnote>
  <w:footnote w:id="8">
    <w:p w14:paraId="0DF37A50" w14:textId="77777777" w:rsidR="00073D65" w:rsidRDefault="00073D65" w:rsidP="00073D65">
      <w:pPr>
        <w:pStyle w:val="FootnoteText"/>
      </w:pPr>
      <w:r>
        <w:rPr>
          <w:rStyle w:val="FootnoteReference"/>
        </w:rPr>
        <w:footnoteRef/>
      </w:r>
      <w:r>
        <w:t xml:space="preserve"> At p.3</w:t>
      </w:r>
    </w:p>
  </w:footnote>
  <w:footnote w:id="9">
    <w:p w14:paraId="50A7FA4C" w14:textId="77777777" w:rsidR="00C52188" w:rsidRDefault="00C52188" w:rsidP="00C52188">
      <w:pPr>
        <w:pStyle w:val="FootnoteText"/>
      </w:pPr>
      <w:r>
        <w:rPr>
          <w:rStyle w:val="FootnoteReference"/>
        </w:rPr>
        <w:footnoteRef/>
      </w:r>
      <w:r>
        <w:t xml:space="preserve"> NMM object ZAZ0144</w:t>
      </w:r>
    </w:p>
  </w:footnote>
  <w:footnote w:id="10">
    <w:p w14:paraId="573A0808" w14:textId="77777777" w:rsidR="00C52188" w:rsidRDefault="00C52188" w:rsidP="00C52188">
      <w:pPr>
        <w:pStyle w:val="FootnoteText"/>
      </w:pPr>
      <w:r>
        <w:rPr>
          <w:rStyle w:val="FootnoteReference"/>
        </w:rPr>
        <w:footnoteRef/>
      </w:r>
      <w:r>
        <w:t xml:space="preserve"> NMM object SLR0450</w:t>
      </w:r>
    </w:p>
  </w:footnote>
  <w:footnote w:id="11">
    <w:p w14:paraId="6852ED40" w14:textId="77777777" w:rsidR="00C52188" w:rsidRDefault="00C52188" w:rsidP="00C52188">
      <w:pPr>
        <w:pStyle w:val="FootnoteText"/>
        <w:rPr>
          <w:rFonts w:ascii="Times New Roman" w:hAnsi="Times New Roman"/>
        </w:rPr>
      </w:pPr>
      <w:r>
        <w:rPr>
          <w:rStyle w:val="FootnoteReference"/>
        </w:rPr>
        <w:footnoteRef/>
      </w:r>
      <w:r>
        <w:t xml:space="preserve"> NMM POR/A/9</w:t>
      </w:r>
    </w:p>
  </w:footnote>
  <w:footnote w:id="12">
    <w:p w14:paraId="5064A1FE" w14:textId="77777777" w:rsidR="00C52188" w:rsidRDefault="00C52188" w:rsidP="00C52188">
      <w:pPr>
        <w:pStyle w:val="FootnoteText"/>
      </w:pPr>
      <w:r>
        <w:rPr>
          <w:rStyle w:val="FootnoteReference"/>
        </w:rPr>
        <w:footnoteRef/>
      </w:r>
      <w:r>
        <w:t xml:space="preserve"> E.g. Brian Lavery, ‘THE REBUILDING OF BRITISH WARSHIPS 1690–1740’</w:t>
      </w:r>
      <w:r w:rsidR="007533A5">
        <w:t>,</w:t>
      </w:r>
      <w:r>
        <w:t xml:space="preserve"> </w:t>
      </w:r>
      <w:proofErr w:type="gramStart"/>
      <w:r>
        <w:rPr>
          <w:i/>
        </w:rPr>
        <w:t>The</w:t>
      </w:r>
      <w:proofErr w:type="gramEnd"/>
      <w:r>
        <w:rPr>
          <w:i/>
        </w:rPr>
        <w:t xml:space="preserve"> Mariner's Mirror</w:t>
      </w:r>
      <w:r w:rsidR="007533A5">
        <w:rPr>
          <w:i/>
        </w:rPr>
        <w:t>,</w:t>
      </w:r>
      <w:r>
        <w:t xml:space="preserve"> Vol. 66, </w:t>
      </w:r>
      <w:proofErr w:type="spellStart"/>
      <w:r>
        <w:t>Iss</w:t>
      </w:r>
      <w:proofErr w:type="spellEnd"/>
      <w:r>
        <w:t>. 2, 1980</w:t>
      </w:r>
    </w:p>
  </w:footnote>
  <w:footnote w:id="13">
    <w:p w14:paraId="3FA75CC6" w14:textId="77777777" w:rsidR="00C52188" w:rsidRDefault="00C52188" w:rsidP="00C52188">
      <w:pPr>
        <w:pStyle w:val="FootnoteText"/>
      </w:pPr>
      <w:r>
        <w:rPr>
          <w:rStyle w:val="FootnoteReference"/>
        </w:rPr>
        <w:footnoteRef/>
      </w:r>
      <w:r>
        <w:t xml:space="preserve"> David Roberts, </w:t>
      </w:r>
      <w:r>
        <w:rPr>
          <w:i/>
        </w:rPr>
        <w:t>18</w:t>
      </w:r>
      <w:r>
        <w:rPr>
          <w:i/>
          <w:vertAlign w:val="superscript"/>
        </w:rPr>
        <w:t>th</w:t>
      </w:r>
      <w:r>
        <w:rPr>
          <w:i/>
        </w:rPr>
        <w:t xml:space="preserve"> Century Shipbuilding</w:t>
      </w:r>
      <w:r>
        <w:t xml:space="preserve">, </w:t>
      </w:r>
    </w:p>
  </w:footnote>
  <w:footnote w:id="14">
    <w:p w14:paraId="129EE70F" w14:textId="77777777" w:rsidR="00C52188" w:rsidRDefault="00C52188" w:rsidP="00C52188">
      <w:pPr>
        <w:pStyle w:val="FootnoteText"/>
        <w:rPr>
          <w:rFonts w:ascii="Times New Roman" w:hAnsi="Times New Roman"/>
        </w:rPr>
      </w:pPr>
      <w:r>
        <w:rPr>
          <w:rStyle w:val="FootnoteReference"/>
        </w:rPr>
        <w:footnoteRef/>
      </w:r>
      <w:r>
        <w:t xml:space="preserve"> </w:t>
      </w:r>
      <w:r>
        <w:rPr>
          <w:i/>
        </w:rPr>
        <w:t xml:space="preserve">British Naval Documents 1204-1960 </w:t>
      </w:r>
      <w:r>
        <w:t>, Navy Records Society, p. 484</w:t>
      </w:r>
    </w:p>
  </w:footnote>
  <w:footnote w:id="15">
    <w:p w14:paraId="37CCA76C" w14:textId="2035663D" w:rsidR="005236A3" w:rsidRDefault="005236A3">
      <w:pPr>
        <w:pStyle w:val="FootnoteText"/>
      </w:pPr>
      <w:r>
        <w:rPr>
          <w:rStyle w:val="FootnoteReference"/>
        </w:rPr>
        <w:footnoteRef/>
      </w:r>
      <w:r>
        <w:t xml:space="preserve"> </w:t>
      </w:r>
      <w:r w:rsidRPr="005236A3">
        <w:t xml:space="preserve">E.g. Roger Knight, ‘New England Forests and British Seapower: Albion Revised’, </w:t>
      </w:r>
      <w:r w:rsidRPr="009E6F2B">
        <w:rPr>
          <w:i/>
        </w:rPr>
        <w:t>The American Neptune</w:t>
      </w:r>
      <w:r w:rsidRPr="005236A3">
        <w:t>, Vol. XLVI no. 4, 1986</w:t>
      </w:r>
    </w:p>
  </w:footnote>
  <w:footnote w:id="16">
    <w:p w14:paraId="7512D6BB" w14:textId="77777777" w:rsidR="00CD5823" w:rsidRDefault="00CD5823">
      <w:pPr>
        <w:pStyle w:val="FootnoteText"/>
      </w:pPr>
      <w:r>
        <w:rPr>
          <w:rStyle w:val="FootnoteReference"/>
        </w:rPr>
        <w:footnoteRef/>
      </w:r>
      <w:r>
        <w:t xml:space="preserve"> </w:t>
      </w:r>
      <w:r w:rsidRPr="00CD5823">
        <w:t>http://seekingalpha.com/article/2595215-odyssey-marine-victory-and-vindication?app=1&amp;uprof=46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27F7E"/>
    <w:multiLevelType w:val="hybridMultilevel"/>
    <w:tmpl w:val="6EAAD260"/>
    <w:lvl w:ilvl="0" w:tplc="DF00A188">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45B350B"/>
    <w:multiLevelType w:val="hybridMultilevel"/>
    <w:tmpl w:val="32C41304"/>
    <w:lvl w:ilvl="0" w:tplc="DB3E9A9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09845EF"/>
    <w:multiLevelType w:val="hybridMultilevel"/>
    <w:tmpl w:val="64BC01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9300D4D"/>
    <w:multiLevelType w:val="hybridMultilevel"/>
    <w:tmpl w:val="07CEC06A"/>
    <w:lvl w:ilvl="0" w:tplc="5A1A3296">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BD20428"/>
    <w:multiLevelType w:val="hybridMultilevel"/>
    <w:tmpl w:val="6EAAD260"/>
    <w:lvl w:ilvl="0" w:tplc="DF00A188">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6BC705F9"/>
    <w:multiLevelType w:val="hybridMultilevel"/>
    <w:tmpl w:val="6EAAD260"/>
    <w:lvl w:ilvl="0" w:tplc="DF00A188">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6F573743"/>
    <w:multiLevelType w:val="hybridMultilevel"/>
    <w:tmpl w:val="C750DEFC"/>
    <w:lvl w:ilvl="0" w:tplc="964C62E8">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49D07C7"/>
    <w:multiLevelType w:val="hybridMultilevel"/>
    <w:tmpl w:val="1FDE02C8"/>
    <w:lvl w:ilvl="0" w:tplc="DF00A188">
      <w:start w:val="1"/>
      <w:numFmt w:val="decimal"/>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75192040"/>
    <w:multiLevelType w:val="hybridMultilevel"/>
    <w:tmpl w:val="D520B9CE"/>
    <w:lvl w:ilvl="0" w:tplc="762ACDB4">
      <w:start w:val="2"/>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ED86C3E"/>
    <w:multiLevelType w:val="hybridMultilevel"/>
    <w:tmpl w:val="F932907E"/>
    <w:lvl w:ilvl="0" w:tplc="E6865554">
      <w:start w:val="4"/>
      <w:numFmt w:val="bullet"/>
      <w:lvlText w:val="•"/>
      <w:lvlJc w:val="left"/>
      <w:pPr>
        <w:ind w:left="1778" w:hanging="360"/>
      </w:pPr>
      <w:rPr>
        <w:rFonts w:ascii="Calibri" w:eastAsia="Calibri" w:hAnsi="Calibri" w:cs="Times New Roman"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num w:numId="1">
    <w:abstractNumId w:val="5"/>
  </w:num>
  <w:num w:numId="2">
    <w:abstractNumId w:val="1"/>
  </w:num>
  <w:num w:numId="3">
    <w:abstractNumId w:val="6"/>
  </w:num>
  <w:num w:numId="4">
    <w:abstractNumId w:val="8"/>
  </w:num>
  <w:num w:numId="5">
    <w:abstractNumId w:val="7"/>
  </w:num>
  <w:num w:numId="6">
    <w:abstractNumId w:val="4"/>
  </w:num>
  <w:num w:numId="7">
    <w:abstractNumId w:val="9"/>
  </w:num>
  <w:num w:numId="8">
    <w:abstractNumId w:val="0"/>
  </w:num>
  <w:num w:numId="9">
    <w:abstractNumId w:val="3"/>
  </w:num>
  <w:num w:numId="10">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oby Gane">
    <w15:presenceInfo w15:providerId="AD" w15:userId="S-1-5-21-1313952504-343879067-619646970-296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188"/>
    <w:rsid w:val="00016A5A"/>
    <w:rsid w:val="00023DFA"/>
    <w:rsid w:val="00073D65"/>
    <w:rsid w:val="000951EA"/>
    <w:rsid w:val="000A3AC0"/>
    <w:rsid w:val="000A66F7"/>
    <w:rsid w:val="000C5B7B"/>
    <w:rsid w:val="000D30FE"/>
    <w:rsid w:val="000D4BD9"/>
    <w:rsid w:val="000D6EAE"/>
    <w:rsid w:val="000E3ADB"/>
    <w:rsid w:val="000F6A94"/>
    <w:rsid w:val="001078C1"/>
    <w:rsid w:val="00174330"/>
    <w:rsid w:val="001C6B70"/>
    <w:rsid w:val="001D1F50"/>
    <w:rsid w:val="001F32CD"/>
    <w:rsid w:val="001F3FBA"/>
    <w:rsid w:val="001F56DC"/>
    <w:rsid w:val="00211EA1"/>
    <w:rsid w:val="00223DEF"/>
    <w:rsid w:val="00224C2C"/>
    <w:rsid w:val="00225D6D"/>
    <w:rsid w:val="00230FA7"/>
    <w:rsid w:val="00254BA9"/>
    <w:rsid w:val="0025740A"/>
    <w:rsid w:val="002874FB"/>
    <w:rsid w:val="002925D8"/>
    <w:rsid w:val="002A482F"/>
    <w:rsid w:val="002A55FA"/>
    <w:rsid w:val="002B2767"/>
    <w:rsid w:val="002B469A"/>
    <w:rsid w:val="002C430C"/>
    <w:rsid w:val="002C5AFA"/>
    <w:rsid w:val="00346B83"/>
    <w:rsid w:val="00370284"/>
    <w:rsid w:val="00374354"/>
    <w:rsid w:val="003970BC"/>
    <w:rsid w:val="00410E2D"/>
    <w:rsid w:val="00414ECD"/>
    <w:rsid w:val="00415ED2"/>
    <w:rsid w:val="00420646"/>
    <w:rsid w:val="00437F83"/>
    <w:rsid w:val="00466EA5"/>
    <w:rsid w:val="00471905"/>
    <w:rsid w:val="0047330C"/>
    <w:rsid w:val="00487F78"/>
    <w:rsid w:val="0049364E"/>
    <w:rsid w:val="00497519"/>
    <w:rsid w:val="004A35D3"/>
    <w:rsid w:val="004A50A5"/>
    <w:rsid w:val="004A55A9"/>
    <w:rsid w:val="004A7900"/>
    <w:rsid w:val="004B2D42"/>
    <w:rsid w:val="004D0CC8"/>
    <w:rsid w:val="004D7CF1"/>
    <w:rsid w:val="004E33BA"/>
    <w:rsid w:val="0050326C"/>
    <w:rsid w:val="005048DE"/>
    <w:rsid w:val="005236A3"/>
    <w:rsid w:val="005317D6"/>
    <w:rsid w:val="005371FE"/>
    <w:rsid w:val="00540210"/>
    <w:rsid w:val="00551A95"/>
    <w:rsid w:val="00557AD1"/>
    <w:rsid w:val="00561187"/>
    <w:rsid w:val="005652C9"/>
    <w:rsid w:val="005722D6"/>
    <w:rsid w:val="0057288C"/>
    <w:rsid w:val="00587194"/>
    <w:rsid w:val="005B5D6B"/>
    <w:rsid w:val="005C3DCB"/>
    <w:rsid w:val="005E08EB"/>
    <w:rsid w:val="005F5BF2"/>
    <w:rsid w:val="005F690F"/>
    <w:rsid w:val="006124D0"/>
    <w:rsid w:val="00615498"/>
    <w:rsid w:val="00617633"/>
    <w:rsid w:val="0062094B"/>
    <w:rsid w:val="00621EFE"/>
    <w:rsid w:val="006356E3"/>
    <w:rsid w:val="00637702"/>
    <w:rsid w:val="0064513F"/>
    <w:rsid w:val="006527E5"/>
    <w:rsid w:val="00653CFC"/>
    <w:rsid w:val="00666857"/>
    <w:rsid w:val="00676021"/>
    <w:rsid w:val="00676156"/>
    <w:rsid w:val="00687FF5"/>
    <w:rsid w:val="00690CB7"/>
    <w:rsid w:val="006B32E3"/>
    <w:rsid w:val="006D2952"/>
    <w:rsid w:val="006D3302"/>
    <w:rsid w:val="006E30C5"/>
    <w:rsid w:val="006F089F"/>
    <w:rsid w:val="006F1DFE"/>
    <w:rsid w:val="006F2D47"/>
    <w:rsid w:val="007533A5"/>
    <w:rsid w:val="00757FE6"/>
    <w:rsid w:val="0076783A"/>
    <w:rsid w:val="0078042A"/>
    <w:rsid w:val="007820F7"/>
    <w:rsid w:val="00792273"/>
    <w:rsid w:val="0079411B"/>
    <w:rsid w:val="00796E09"/>
    <w:rsid w:val="007B0F15"/>
    <w:rsid w:val="007C16A4"/>
    <w:rsid w:val="007C2D1E"/>
    <w:rsid w:val="007C4DCD"/>
    <w:rsid w:val="007C72B1"/>
    <w:rsid w:val="00802AEB"/>
    <w:rsid w:val="0081414F"/>
    <w:rsid w:val="008149C2"/>
    <w:rsid w:val="008570B4"/>
    <w:rsid w:val="00874B3C"/>
    <w:rsid w:val="00897DA4"/>
    <w:rsid w:val="008A5C52"/>
    <w:rsid w:val="008A75EC"/>
    <w:rsid w:val="008C1128"/>
    <w:rsid w:val="009008D5"/>
    <w:rsid w:val="00900F10"/>
    <w:rsid w:val="009120A9"/>
    <w:rsid w:val="00947A60"/>
    <w:rsid w:val="009913DA"/>
    <w:rsid w:val="00994B70"/>
    <w:rsid w:val="009E6F2B"/>
    <w:rsid w:val="00A03D5A"/>
    <w:rsid w:val="00A43A77"/>
    <w:rsid w:val="00A966D5"/>
    <w:rsid w:val="00AB0642"/>
    <w:rsid w:val="00AB3BB9"/>
    <w:rsid w:val="00AC5891"/>
    <w:rsid w:val="00AD650F"/>
    <w:rsid w:val="00AE3486"/>
    <w:rsid w:val="00AE5C6D"/>
    <w:rsid w:val="00AE61A6"/>
    <w:rsid w:val="00B1694A"/>
    <w:rsid w:val="00B376FE"/>
    <w:rsid w:val="00B40F24"/>
    <w:rsid w:val="00B47208"/>
    <w:rsid w:val="00B70A68"/>
    <w:rsid w:val="00B81916"/>
    <w:rsid w:val="00B91278"/>
    <w:rsid w:val="00BD5BFD"/>
    <w:rsid w:val="00BE1146"/>
    <w:rsid w:val="00BE3BDB"/>
    <w:rsid w:val="00C03C58"/>
    <w:rsid w:val="00C03C69"/>
    <w:rsid w:val="00C04B95"/>
    <w:rsid w:val="00C22904"/>
    <w:rsid w:val="00C44325"/>
    <w:rsid w:val="00C47EE6"/>
    <w:rsid w:val="00C52188"/>
    <w:rsid w:val="00C54DB1"/>
    <w:rsid w:val="00C86A15"/>
    <w:rsid w:val="00CA0749"/>
    <w:rsid w:val="00CA1359"/>
    <w:rsid w:val="00CA26C3"/>
    <w:rsid w:val="00CA3B5B"/>
    <w:rsid w:val="00CB0E13"/>
    <w:rsid w:val="00CC1B9A"/>
    <w:rsid w:val="00CD5823"/>
    <w:rsid w:val="00D44B77"/>
    <w:rsid w:val="00D513DE"/>
    <w:rsid w:val="00D605F9"/>
    <w:rsid w:val="00D642BA"/>
    <w:rsid w:val="00D80768"/>
    <w:rsid w:val="00DC3556"/>
    <w:rsid w:val="00DD7084"/>
    <w:rsid w:val="00E154FC"/>
    <w:rsid w:val="00E23B63"/>
    <w:rsid w:val="00E2558A"/>
    <w:rsid w:val="00E4046D"/>
    <w:rsid w:val="00E5036F"/>
    <w:rsid w:val="00EA14D6"/>
    <w:rsid w:val="00EA64EE"/>
    <w:rsid w:val="00EB3649"/>
    <w:rsid w:val="00EC2116"/>
    <w:rsid w:val="00EC4B1A"/>
    <w:rsid w:val="00ED0250"/>
    <w:rsid w:val="00ED25F3"/>
    <w:rsid w:val="00EF50D8"/>
    <w:rsid w:val="00F05703"/>
    <w:rsid w:val="00F26B3D"/>
    <w:rsid w:val="00F63B40"/>
    <w:rsid w:val="00F828FC"/>
    <w:rsid w:val="00F87784"/>
    <w:rsid w:val="00F93E18"/>
    <w:rsid w:val="00F97506"/>
    <w:rsid w:val="00FA3959"/>
    <w:rsid w:val="00FB7699"/>
    <w:rsid w:val="00FB79B1"/>
    <w:rsid w:val="00FC0E2C"/>
    <w:rsid w:val="00FC0E8E"/>
    <w:rsid w:val="00FC3166"/>
    <w:rsid w:val="00FC36EB"/>
    <w:rsid w:val="00FD760F"/>
    <w:rsid w:val="00FE20D7"/>
    <w:rsid w:val="00FE6E01"/>
    <w:rsid w:val="00FF66AB"/>
    <w:rsid w:val="00FF79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1F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188"/>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188"/>
    <w:pPr>
      <w:ind w:left="720"/>
      <w:contextualSpacing/>
    </w:pPr>
  </w:style>
  <w:style w:type="paragraph" w:styleId="FootnoteText">
    <w:name w:val="footnote text"/>
    <w:basedOn w:val="Normal"/>
    <w:link w:val="FootnoteTextChar"/>
    <w:uiPriority w:val="99"/>
    <w:semiHidden/>
    <w:unhideWhenUsed/>
    <w:rsid w:val="00C52188"/>
    <w:pPr>
      <w:spacing w:after="0" w:line="240" w:lineRule="auto"/>
    </w:pPr>
    <w:rPr>
      <w:sz w:val="20"/>
      <w:szCs w:val="20"/>
    </w:rPr>
  </w:style>
  <w:style w:type="character" w:customStyle="1" w:styleId="FootnoteTextChar">
    <w:name w:val="Footnote Text Char"/>
    <w:link w:val="FootnoteText"/>
    <w:uiPriority w:val="99"/>
    <w:semiHidden/>
    <w:rsid w:val="00C52188"/>
    <w:rPr>
      <w:rFonts w:ascii="Calibri" w:eastAsia="Calibri" w:hAnsi="Calibri" w:cs="Times New Roman"/>
      <w:sz w:val="20"/>
      <w:szCs w:val="20"/>
    </w:rPr>
  </w:style>
  <w:style w:type="character" w:styleId="FootnoteReference">
    <w:name w:val="footnote reference"/>
    <w:uiPriority w:val="99"/>
    <w:semiHidden/>
    <w:unhideWhenUsed/>
    <w:rsid w:val="00C52188"/>
    <w:rPr>
      <w:vertAlign w:val="superscript"/>
    </w:rPr>
  </w:style>
  <w:style w:type="paragraph" w:styleId="Quote">
    <w:name w:val="Quote"/>
    <w:basedOn w:val="Normal"/>
    <w:next w:val="Normal"/>
    <w:link w:val="QuoteChar"/>
    <w:uiPriority w:val="29"/>
    <w:qFormat/>
    <w:rsid w:val="00C52188"/>
    <w:pPr>
      <w:spacing w:before="200" w:after="160"/>
      <w:ind w:left="864" w:right="864"/>
      <w:jc w:val="center"/>
    </w:pPr>
    <w:rPr>
      <w:i/>
      <w:iCs/>
      <w:color w:val="404040"/>
    </w:rPr>
  </w:style>
  <w:style w:type="character" w:customStyle="1" w:styleId="QuoteChar">
    <w:name w:val="Quote Char"/>
    <w:link w:val="Quote"/>
    <w:uiPriority w:val="29"/>
    <w:rsid w:val="00C52188"/>
    <w:rPr>
      <w:rFonts w:ascii="Calibri" w:eastAsia="Calibri" w:hAnsi="Calibri" w:cs="Times New Roman"/>
      <w:i/>
      <w:iCs/>
      <w:color w:val="404040"/>
    </w:rPr>
  </w:style>
  <w:style w:type="paragraph" w:customStyle="1" w:styleId="ecxmsonormal">
    <w:name w:val="ecxmsonormal"/>
    <w:basedOn w:val="Normal"/>
    <w:rsid w:val="005F5BF2"/>
    <w:pPr>
      <w:spacing w:beforeLines="1" w:after="0" w:line="240" w:lineRule="auto"/>
    </w:pPr>
    <w:rPr>
      <w:rFonts w:ascii="Times" w:hAnsi="Times"/>
      <w:sz w:val="20"/>
      <w:szCs w:val="20"/>
    </w:rPr>
  </w:style>
  <w:style w:type="table" w:styleId="TableGrid">
    <w:name w:val="Table Grid"/>
    <w:basedOn w:val="TableNormal"/>
    <w:uiPriority w:val="59"/>
    <w:rsid w:val="005F5BF2"/>
    <w:rPr>
      <w:sz w:val="24"/>
      <w:szCs w:val="24"/>
      <w:lang w:val="en-US"/>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uiPriority w:val="99"/>
    <w:semiHidden/>
    <w:unhideWhenUsed/>
    <w:rsid w:val="005722D6"/>
    <w:rPr>
      <w:sz w:val="16"/>
      <w:szCs w:val="16"/>
    </w:rPr>
  </w:style>
  <w:style w:type="paragraph" w:styleId="CommentText">
    <w:name w:val="annotation text"/>
    <w:basedOn w:val="Normal"/>
    <w:link w:val="CommentTextChar"/>
    <w:uiPriority w:val="99"/>
    <w:semiHidden/>
    <w:unhideWhenUsed/>
    <w:rsid w:val="005722D6"/>
    <w:pPr>
      <w:spacing w:line="240" w:lineRule="auto"/>
    </w:pPr>
    <w:rPr>
      <w:sz w:val="20"/>
      <w:szCs w:val="20"/>
    </w:rPr>
  </w:style>
  <w:style w:type="character" w:customStyle="1" w:styleId="CommentTextChar">
    <w:name w:val="Comment Text Char"/>
    <w:link w:val="CommentText"/>
    <w:uiPriority w:val="99"/>
    <w:semiHidden/>
    <w:rsid w:val="005722D6"/>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722D6"/>
    <w:rPr>
      <w:b/>
      <w:bCs/>
    </w:rPr>
  </w:style>
  <w:style w:type="character" w:customStyle="1" w:styleId="CommentSubjectChar">
    <w:name w:val="Comment Subject Char"/>
    <w:link w:val="CommentSubject"/>
    <w:uiPriority w:val="99"/>
    <w:semiHidden/>
    <w:rsid w:val="005722D6"/>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5722D6"/>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5722D6"/>
    <w:rPr>
      <w:rFonts w:ascii="Segoe UI" w:eastAsia="Calibri" w:hAnsi="Segoe UI" w:cs="Segoe UI"/>
      <w:sz w:val="18"/>
      <w:szCs w:val="18"/>
    </w:rPr>
  </w:style>
  <w:style w:type="paragraph" w:styleId="Header">
    <w:name w:val="header"/>
    <w:basedOn w:val="Normal"/>
    <w:link w:val="HeaderChar"/>
    <w:uiPriority w:val="99"/>
    <w:unhideWhenUsed/>
    <w:rsid w:val="00E23B63"/>
    <w:pPr>
      <w:tabs>
        <w:tab w:val="center" w:pos="4513"/>
        <w:tab w:val="right" w:pos="9026"/>
      </w:tabs>
      <w:spacing w:after="0" w:line="240" w:lineRule="auto"/>
    </w:pPr>
  </w:style>
  <w:style w:type="character" w:customStyle="1" w:styleId="HeaderChar">
    <w:name w:val="Header Char"/>
    <w:link w:val="Header"/>
    <w:uiPriority w:val="99"/>
    <w:rsid w:val="00E23B63"/>
    <w:rPr>
      <w:rFonts w:ascii="Calibri" w:eastAsia="Calibri" w:hAnsi="Calibri" w:cs="Times New Roman"/>
    </w:rPr>
  </w:style>
  <w:style w:type="paragraph" w:styleId="Footer">
    <w:name w:val="footer"/>
    <w:basedOn w:val="Normal"/>
    <w:link w:val="FooterChar"/>
    <w:uiPriority w:val="99"/>
    <w:unhideWhenUsed/>
    <w:rsid w:val="00E23B63"/>
    <w:pPr>
      <w:tabs>
        <w:tab w:val="center" w:pos="4513"/>
        <w:tab w:val="right" w:pos="9026"/>
      </w:tabs>
      <w:spacing w:after="0" w:line="240" w:lineRule="auto"/>
    </w:pPr>
  </w:style>
  <w:style w:type="character" w:customStyle="1" w:styleId="FooterChar">
    <w:name w:val="Footer Char"/>
    <w:link w:val="Footer"/>
    <w:uiPriority w:val="99"/>
    <w:rsid w:val="00E23B63"/>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188"/>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188"/>
    <w:pPr>
      <w:ind w:left="720"/>
      <w:contextualSpacing/>
    </w:pPr>
  </w:style>
  <w:style w:type="paragraph" w:styleId="FootnoteText">
    <w:name w:val="footnote text"/>
    <w:basedOn w:val="Normal"/>
    <w:link w:val="FootnoteTextChar"/>
    <w:uiPriority w:val="99"/>
    <w:semiHidden/>
    <w:unhideWhenUsed/>
    <w:rsid w:val="00C52188"/>
    <w:pPr>
      <w:spacing w:after="0" w:line="240" w:lineRule="auto"/>
    </w:pPr>
    <w:rPr>
      <w:sz w:val="20"/>
      <w:szCs w:val="20"/>
    </w:rPr>
  </w:style>
  <w:style w:type="character" w:customStyle="1" w:styleId="FootnoteTextChar">
    <w:name w:val="Footnote Text Char"/>
    <w:link w:val="FootnoteText"/>
    <w:uiPriority w:val="99"/>
    <w:semiHidden/>
    <w:rsid w:val="00C52188"/>
    <w:rPr>
      <w:rFonts w:ascii="Calibri" w:eastAsia="Calibri" w:hAnsi="Calibri" w:cs="Times New Roman"/>
      <w:sz w:val="20"/>
      <w:szCs w:val="20"/>
    </w:rPr>
  </w:style>
  <w:style w:type="character" w:styleId="FootnoteReference">
    <w:name w:val="footnote reference"/>
    <w:uiPriority w:val="99"/>
    <w:semiHidden/>
    <w:unhideWhenUsed/>
    <w:rsid w:val="00C52188"/>
    <w:rPr>
      <w:vertAlign w:val="superscript"/>
    </w:rPr>
  </w:style>
  <w:style w:type="paragraph" w:styleId="Quote">
    <w:name w:val="Quote"/>
    <w:basedOn w:val="Normal"/>
    <w:next w:val="Normal"/>
    <w:link w:val="QuoteChar"/>
    <w:uiPriority w:val="29"/>
    <w:qFormat/>
    <w:rsid w:val="00C52188"/>
    <w:pPr>
      <w:spacing w:before="200" w:after="160"/>
      <w:ind w:left="864" w:right="864"/>
      <w:jc w:val="center"/>
    </w:pPr>
    <w:rPr>
      <w:i/>
      <w:iCs/>
      <w:color w:val="404040"/>
    </w:rPr>
  </w:style>
  <w:style w:type="character" w:customStyle="1" w:styleId="QuoteChar">
    <w:name w:val="Quote Char"/>
    <w:link w:val="Quote"/>
    <w:uiPriority w:val="29"/>
    <w:rsid w:val="00C52188"/>
    <w:rPr>
      <w:rFonts w:ascii="Calibri" w:eastAsia="Calibri" w:hAnsi="Calibri" w:cs="Times New Roman"/>
      <w:i/>
      <w:iCs/>
      <w:color w:val="404040"/>
    </w:rPr>
  </w:style>
  <w:style w:type="paragraph" w:customStyle="1" w:styleId="ecxmsonormal">
    <w:name w:val="ecxmsonormal"/>
    <w:basedOn w:val="Normal"/>
    <w:rsid w:val="005F5BF2"/>
    <w:pPr>
      <w:spacing w:beforeLines="1" w:after="0" w:line="240" w:lineRule="auto"/>
    </w:pPr>
    <w:rPr>
      <w:rFonts w:ascii="Times" w:hAnsi="Times"/>
      <w:sz w:val="20"/>
      <w:szCs w:val="20"/>
    </w:rPr>
  </w:style>
  <w:style w:type="table" w:styleId="TableGrid">
    <w:name w:val="Table Grid"/>
    <w:basedOn w:val="TableNormal"/>
    <w:uiPriority w:val="59"/>
    <w:rsid w:val="005F5BF2"/>
    <w:rPr>
      <w:sz w:val="24"/>
      <w:szCs w:val="24"/>
      <w:lang w:val="en-US"/>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uiPriority w:val="99"/>
    <w:semiHidden/>
    <w:unhideWhenUsed/>
    <w:rsid w:val="005722D6"/>
    <w:rPr>
      <w:sz w:val="16"/>
      <w:szCs w:val="16"/>
    </w:rPr>
  </w:style>
  <w:style w:type="paragraph" w:styleId="CommentText">
    <w:name w:val="annotation text"/>
    <w:basedOn w:val="Normal"/>
    <w:link w:val="CommentTextChar"/>
    <w:uiPriority w:val="99"/>
    <w:semiHidden/>
    <w:unhideWhenUsed/>
    <w:rsid w:val="005722D6"/>
    <w:pPr>
      <w:spacing w:line="240" w:lineRule="auto"/>
    </w:pPr>
    <w:rPr>
      <w:sz w:val="20"/>
      <w:szCs w:val="20"/>
    </w:rPr>
  </w:style>
  <w:style w:type="character" w:customStyle="1" w:styleId="CommentTextChar">
    <w:name w:val="Comment Text Char"/>
    <w:link w:val="CommentText"/>
    <w:uiPriority w:val="99"/>
    <w:semiHidden/>
    <w:rsid w:val="005722D6"/>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722D6"/>
    <w:rPr>
      <w:b/>
      <w:bCs/>
    </w:rPr>
  </w:style>
  <w:style w:type="character" w:customStyle="1" w:styleId="CommentSubjectChar">
    <w:name w:val="Comment Subject Char"/>
    <w:link w:val="CommentSubject"/>
    <w:uiPriority w:val="99"/>
    <w:semiHidden/>
    <w:rsid w:val="005722D6"/>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5722D6"/>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5722D6"/>
    <w:rPr>
      <w:rFonts w:ascii="Segoe UI" w:eastAsia="Calibri" w:hAnsi="Segoe UI" w:cs="Segoe UI"/>
      <w:sz w:val="18"/>
      <w:szCs w:val="18"/>
    </w:rPr>
  </w:style>
  <w:style w:type="paragraph" w:styleId="Header">
    <w:name w:val="header"/>
    <w:basedOn w:val="Normal"/>
    <w:link w:val="HeaderChar"/>
    <w:uiPriority w:val="99"/>
    <w:unhideWhenUsed/>
    <w:rsid w:val="00E23B63"/>
    <w:pPr>
      <w:tabs>
        <w:tab w:val="center" w:pos="4513"/>
        <w:tab w:val="right" w:pos="9026"/>
      </w:tabs>
      <w:spacing w:after="0" w:line="240" w:lineRule="auto"/>
    </w:pPr>
  </w:style>
  <w:style w:type="character" w:customStyle="1" w:styleId="HeaderChar">
    <w:name w:val="Header Char"/>
    <w:link w:val="Header"/>
    <w:uiPriority w:val="99"/>
    <w:rsid w:val="00E23B63"/>
    <w:rPr>
      <w:rFonts w:ascii="Calibri" w:eastAsia="Calibri" w:hAnsi="Calibri" w:cs="Times New Roman"/>
    </w:rPr>
  </w:style>
  <w:style w:type="paragraph" w:styleId="Footer">
    <w:name w:val="footer"/>
    <w:basedOn w:val="Normal"/>
    <w:link w:val="FooterChar"/>
    <w:uiPriority w:val="99"/>
    <w:unhideWhenUsed/>
    <w:rsid w:val="00E23B63"/>
    <w:pPr>
      <w:tabs>
        <w:tab w:val="center" w:pos="4513"/>
        <w:tab w:val="right" w:pos="9026"/>
      </w:tabs>
      <w:spacing w:after="0" w:line="240" w:lineRule="auto"/>
    </w:pPr>
  </w:style>
  <w:style w:type="character" w:customStyle="1" w:styleId="FooterChar">
    <w:name w:val="Footer Char"/>
    <w:link w:val="Footer"/>
    <w:uiPriority w:val="99"/>
    <w:rsid w:val="00E23B63"/>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590925">
      <w:bodyDiv w:val="1"/>
      <w:marLeft w:val="0"/>
      <w:marRight w:val="0"/>
      <w:marTop w:val="0"/>
      <w:marBottom w:val="0"/>
      <w:divBdr>
        <w:top w:val="none" w:sz="0" w:space="0" w:color="auto"/>
        <w:left w:val="none" w:sz="0" w:space="0" w:color="auto"/>
        <w:bottom w:val="none" w:sz="0" w:space="0" w:color="auto"/>
        <w:right w:val="none" w:sz="0" w:space="0" w:color="auto"/>
      </w:divBdr>
    </w:div>
    <w:div w:id="293297512">
      <w:bodyDiv w:val="1"/>
      <w:marLeft w:val="0"/>
      <w:marRight w:val="0"/>
      <w:marTop w:val="0"/>
      <w:marBottom w:val="0"/>
      <w:divBdr>
        <w:top w:val="none" w:sz="0" w:space="0" w:color="auto"/>
        <w:left w:val="none" w:sz="0" w:space="0" w:color="auto"/>
        <w:bottom w:val="none" w:sz="0" w:space="0" w:color="auto"/>
        <w:right w:val="none" w:sz="0" w:space="0" w:color="auto"/>
      </w:divBdr>
    </w:div>
    <w:div w:id="631983998">
      <w:bodyDiv w:val="1"/>
      <w:marLeft w:val="0"/>
      <w:marRight w:val="0"/>
      <w:marTop w:val="0"/>
      <w:marBottom w:val="0"/>
      <w:divBdr>
        <w:top w:val="none" w:sz="0" w:space="0" w:color="auto"/>
        <w:left w:val="none" w:sz="0" w:space="0" w:color="auto"/>
        <w:bottom w:val="none" w:sz="0" w:space="0" w:color="auto"/>
        <w:right w:val="none" w:sz="0" w:space="0" w:color="auto"/>
      </w:divBdr>
    </w:div>
    <w:div w:id="716047528">
      <w:bodyDiv w:val="1"/>
      <w:marLeft w:val="0"/>
      <w:marRight w:val="0"/>
      <w:marTop w:val="0"/>
      <w:marBottom w:val="0"/>
      <w:divBdr>
        <w:top w:val="none" w:sz="0" w:space="0" w:color="auto"/>
        <w:left w:val="none" w:sz="0" w:space="0" w:color="auto"/>
        <w:bottom w:val="none" w:sz="0" w:space="0" w:color="auto"/>
        <w:right w:val="none" w:sz="0" w:space="0" w:color="auto"/>
      </w:divBdr>
    </w:div>
    <w:div w:id="1809546264">
      <w:bodyDiv w:val="1"/>
      <w:marLeft w:val="0"/>
      <w:marRight w:val="0"/>
      <w:marTop w:val="0"/>
      <w:marBottom w:val="0"/>
      <w:divBdr>
        <w:top w:val="none" w:sz="0" w:space="0" w:color="auto"/>
        <w:left w:val="none" w:sz="0" w:space="0" w:color="auto"/>
        <w:bottom w:val="none" w:sz="0" w:space="0" w:color="auto"/>
        <w:right w:val="none" w:sz="0" w:space="0" w:color="auto"/>
      </w:divBdr>
    </w:div>
    <w:div w:id="1943759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252"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97751E1-2B19-442F-8AC1-F23B86EA1082}">
  <we:reference id="wa102920437" version="1.3.1.1" store="en-US" storeType="OMEX"/>
  <we:alternateReferences>
    <we:reference id="wa102920437" version="1.3.1.1"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6DFE7B-6F1D-41AE-9F9F-4CACFDC53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4639</Words>
  <Characters>26447</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Toby Gane</dc:creator>
  <cp:lastModifiedBy>R Yorke</cp:lastModifiedBy>
  <cp:revision>2</cp:revision>
  <cp:lastPrinted>2015-10-19T19:35:00Z</cp:lastPrinted>
  <dcterms:created xsi:type="dcterms:W3CDTF">2019-03-02T19:22:00Z</dcterms:created>
  <dcterms:modified xsi:type="dcterms:W3CDTF">2019-03-02T19:22:00Z</dcterms:modified>
</cp:coreProperties>
</file>